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32584" w14:textId="19A81C95" w:rsidR="00B5002D" w:rsidRPr="002F6B27" w:rsidRDefault="00A30214">
      <w:pPr>
        <w:spacing w:before="49" w:line="198" w:lineRule="auto"/>
        <w:ind w:right="44"/>
        <w:rPr>
          <w:rFonts w:ascii="Times New Roman" w:eastAsia="SimSun" w:hAnsi="Times New Roman" w:cs="Times New Roman"/>
          <w:i/>
          <w:iCs/>
          <w:spacing w:val="5"/>
          <w:sz w:val="24"/>
          <w:szCs w:val="24"/>
        </w:rPr>
      </w:pPr>
      <w:r w:rsidRPr="002F6B27">
        <w:rPr>
          <w:rFonts w:ascii="Times New Roman" w:eastAsia="SimSun" w:hAnsi="Times New Roman" w:cs="Times New Roman"/>
          <w:i/>
          <w:iCs/>
          <w:spacing w:val="18"/>
          <w:sz w:val="24"/>
          <w:szCs w:val="24"/>
        </w:rPr>
        <w:t>香</w:t>
      </w:r>
      <w:r w:rsidRPr="002F6B27">
        <w:rPr>
          <w:rFonts w:ascii="Times New Roman" w:eastAsia="SimSun" w:hAnsi="Times New Roman" w:cs="Times New Roman"/>
          <w:i/>
          <w:iCs/>
          <w:spacing w:val="16"/>
          <w:sz w:val="24"/>
          <w:szCs w:val="24"/>
        </w:rPr>
        <w:t>港</w:t>
      </w:r>
      <w:r w:rsidRPr="002F6B27">
        <w:rPr>
          <w:rFonts w:ascii="Times New Roman" w:eastAsia="SimSun" w:hAnsi="Times New Roman" w:cs="Times New Roman"/>
          <w:i/>
          <w:iCs/>
          <w:spacing w:val="9"/>
          <w:sz w:val="24"/>
          <w:szCs w:val="24"/>
        </w:rPr>
        <w:t>交易及結算所有限公司及香港聯合交易所有限公司對本公佈之內容概不負責，對其</w:t>
      </w:r>
      <w:r w:rsidRPr="002F6B27">
        <w:rPr>
          <w:rFonts w:ascii="Times New Roman" w:eastAsia="SimSun" w:hAnsi="Times New Roman" w:cs="Times New Roman"/>
          <w:i/>
          <w:iCs/>
          <w:sz w:val="24"/>
          <w:szCs w:val="24"/>
        </w:rPr>
        <w:t xml:space="preserve"> </w:t>
      </w:r>
      <w:r w:rsidRPr="002F6B27">
        <w:rPr>
          <w:rFonts w:ascii="Times New Roman" w:eastAsia="SimSun" w:hAnsi="Times New Roman" w:cs="Times New Roman"/>
          <w:i/>
          <w:iCs/>
          <w:spacing w:val="18"/>
          <w:sz w:val="24"/>
          <w:szCs w:val="24"/>
        </w:rPr>
        <w:t>準</w:t>
      </w:r>
      <w:r w:rsidRPr="002F6B27">
        <w:rPr>
          <w:rFonts w:ascii="Times New Roman" w:eastAsia="SimSun" w:hAnsi="Times New Roman" w:cs="Times New Roman"/>
          <w:i/>
          <w:iCs/>
          <w:spacing w:val="17"/>
          <w:sz w:val="24"/>
          <w:szCs w:val="24"/>
        </w:rPr>
        <w:t>確</w:t>
      </w:r>
      <w:r w:rsidRPr="002F6B27">
        <w:rPr>
          <w:rFonts w:ascii="Times New Roman" w:eastAsia="SimSun" w:hAnsi="Times New Roman" w:cs="Times New Roman"/>
          <w:i/>
          <w:iCs/>
          <w:spacing w:val="9"/>
          <w:sz w:val="24"/>
          <w:szCs w:val="24"/>
        </w:rPr>
        <w:t>性或完整性亦不發表任何聲明，並明確表示概不會就因本公佈全部或任何部份內容</w:t>
      </w:r>
      <w:r w:rsidRPr="002F6B27">
        <w:rPr>
          <w:rFonts w:ascii="Times New Roman" w:eastAsia="SimSun" w:hAnsi="Times New Roman" w:cs="Times New Roman"/>
          <w:i/>
          <w:iCs/>
          <w:sz w:val="24"/>
          <w:szCs w:val="24"/>
        </w:rPr>
        <w:t xml:space="preserve"> </w:t>
      </w:r>
      <w:r w:rsidRPr="002F6B27">
        <w:rPr>
          <w:rFonts w:ascii="Times New Roman" w:eastAsia="SimSun" w:hAnsi="Times New Roman" w:cs="Times New Roman"/>
          <w:i/>
          <w:iCs/>
          <w:spacing w:val="6"/>
          <w:sz w:val="24"/>
          <w:szCs w:val="24"/>
        </w:rPr>
        <w:t>而</w:t>
      </w:r>
      <w:r w:rsidRPr="002F6B27">
        <w:rPr>
          <w:rFonts w:ascii="Times New Roman" w:eastAsia="SimSun" w:hAnsi="Times New Roman" w:cs="Times New Roman"/>
          <w:i/>
          <w:iCs/>
          <w:spacing w:val="5"/>
          <w:sz w:val="24"/>
          <w:szCs w:val="24"/>
        </w:rPr>
        <w:t>產生或因倚賴該等內容而引致之任何損失承擔任何責任。</w:t>
      </w:r>
    </w:p>
    <w:p w14:paraId="52F1D6F2" w14:textId="77777777" w:rsidR="00156475" w:rsidRPr="002F6B27" w:rsidRDefault="00156475">
      <w:pPr>
        <w:spacing w:before="49" w:line="198" w:lineRule="auto"/>
        <w:ind w:right="44"/>
        <w:rPr>
          <w:rFonts w:ascii="Times New Roman" w:eastAsia="SimSun" w:hAnsi="Times New Roman" w:cs="Times New Roman"/>
          <w:i/>
          <w:iCs/>
          <w:sz w:val="26"/>
          <w:szCs w:val="26"/>
        </w:rPr>
      </w:pPr>
    </w:p>
    <w:p w14:paraId="644E02B1" w14:textId="5E2CC448" w:rsidR="00B5002D" w:rsidRPr="002F6B27" w:rsidRDefault="00156475" w:rsidP="002F6B27">
      <w:pPr>
        <w:spacing w:line="423" w:lineRule="auto"/>
        <w:jc w:val="center"/>
        <w:rPr>
          <w:rFonts w:ascii="Times New Roman" w:eastAsia="SimSun" w:hAnsi="Times New Roman" w:cs="Times New Roman"/>
        </w:rPr>
      </w:pPr>
      <w:r w:rsidRPr="002F6B27">
        <w:rPr>
          <w:rFonts w:ascii="Times New Roman" w:eastAsia="SimSun" w:hAnsi="Times New Roman" w:cs="Times New Roman"/>
          <w:noProof/>
        </w:rPr>
        <w:drawing>
          <wp:inline distT="0" distB="0" distL="114300" distR="114300" wp14:anchorId="52D2E680" wp14:editId="7FE1A0FA">
            <wp:extent cx="3397250" cy="571500"/>
            <wp:effectExtent l="0" t="0" r="635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397250" cy="571500"/>
                    </a:xfrm>
                    <a:prstGeom prst="rect">
                      <a:avLst/>
                    </a:prstGeom>
                    <a:noFill/>
                    <a:ln>
                      <a:noFill/>
                    </a:ln>
                  </pic:spPr>
                </pic:pic>
              </a:graphicData>
            </a:graphic>
          </wp:inline>
        </w:drawing>
      </w:r>
    </w:p>
    <w:p w14:paraId="6DFA3415" w14:textId="77777777" w:rsidR="00FC7C4C" w:rsidRPr="002F6B27" w:rsidRDefault="00FC7C4C" w:rsidP="00FC7C4C">
      <w:pPr>
        <w:jc w:val="center"/>
        <w:rPr>
          <w:rFonts w:ascii="Times New Roman" w:eastAsia="SimSun" w:hAnsi="Times New Roman" w:cs="Times New Roman"/>
          <w:b/>
          <w:bCs/>
          <w:sz w:val="32"/>
          <w:szCs w:val="32"/>
        </w:rPr>
      </w:pPr>
      <w:r w:rsidRPr="002F6B27">
        <w:rPr>
          <w:rFonts w:ascii="Times New Roman" w:eastAsia="SimSun" w:hAnsi="Times New Roman" w:cs="Times New Roman"/>
          <w:b/>
          <w:bCs/>
          <w:sz w:val="32"/>
          <w:szCs w:val="32"/>
        </w:rPr>
        <w:t>KEYNE LTD</w:t>
      </w:r>
    </w:p>
    <w:p w14:paraId="32AD0C61" w14:textId="77777777" w:rsidR="00FC7C4C" w:rsidRPr="002F6B27" w:rsidRDefault="00FC7C4C" w:rsidP="00FC7C4C">
      <w:pPr>
        <w:jc w:val="center"/>
        <w:rPr>
          <w:rFonts w:ascii="Times New Roman" w:eastAsia="SimSun" w:hAnsi="Times New Roman" w:cs="Times New Roman"/>
          <w:b/>
          <w:bCs/>
          <w:sz w:val="32"/>
          <w:szCs w:val="32"/>
        </w:rPr>
      </w:pPr>
      <w:r w:rsidRPr="002F6B27">
        <w:rPr>
          <w:rFonts w:ascii="Times New Roman" w:eastAsia="SimSun" w:hAnsi="Times New Roman" w:cs="Times New Roman" w:hint="eastAsia"/>
          <w:b/>
          <w:bCs/>
          <w:sz w:val="32"/>
          <w:szCs w:val="32"/>
        </w:rPr>
        <w:t>金奧國際股份有限公司</w:t>
      </w:r>
      <w:r w:rsidRPr="002F6B27">
        <w:rPr>
          <w:rFonts w:ascii="Times New Roman" w:eastAsia="SimSun" w:hAnsi="Times New Roman" w:cs="Times New Roman"/>
          <w:b/>
          <w:bCs/>
          <w:sz w:val="32"/>
          <w:szCs w:val="32"/>
        </w:rPr>
        <w:t>*</w:t>
      </w:r>
    </w:p>
    <w:p w14:paraId="33C0BDBB" w14:textId="50EFF629" w:rsidR="00FC7C4C" w:rsidRPr="002F6B27" w:rsidRDefault="00FC7C4C" w:rsidP="00FC7C4C">
      <w:pPr>
        <w:jc w:val="center"/>
        <w:rPr>
          <w:rFonts w:ascii="Times New Roman" w:eastAsia="SimSun" w:hAnsi="Times New Roman" w:cs="Times New Roman"/>
          <w:sz w:val="24"/>
          <w:szCs w:val="24"/>
        </w:rPr>
      </w:pPr>
      <w:r w:rsidRPr="002F6B27">
        <w:rPr>
          <w:rFonts w:ascii="Times New Roman" w:eastAsia="SimSun" w:hAnsi="Times New Roman" w:cs="Times New Roman"/>
          <w:i/>
          <w:iCs/>
          <w:sz w:val="24"/>
          <w:szCs w:val="24"/>
        </w:rPr>
        <w:t>(</w:t>
      </w:r>
      <w:r w:rsidRPr="002F6B27">
        <w:rPr>
          <w:rFonts w:ascii="Times New Roman" w:eastAsia="SimSun" w:hAnsi="Times New Roman" w:cs="Times New Roman" w:hint="eastAsia"/>
          <w:i/>
          <w:iCs/>
          <w:sz w:val="24"/>
          <w:szCs w:val="24"/>
        </w:rPr>
        <w:t>於百慕達註冊成立之有限公司</w:t>
      </w:r>
      <w:r w:rsidRPr="002F6B27">
        <w:rPr>
          <w:rFonts w:ascii="Times New Roman" w:eastAsia="SimSun" w:hAnsi="Times New Roman" w:cs="Times New Roman"/>
          <w:i/>
          <w:iCs/>
          <w:sz w:val="24"/>
          <w:szCs w:val="24"/>
        </w:rPr>
        <w:t>)</w:t>
      </w:r>
    </w:p>
    <w:p w14:paraId="043B7645" w14:textId="5DF46F82" w:rsidR="00FC7C4C" w:rsidRDefault="00FC7C4C" w:rsidP="00FC7C4C">
      <w:pPr>
        <w:jc w:val="center"/>
        <w:rPr>
          <w:rFonts w:ascii="Times New Roman" w:eastAsia="新細明體" w:hAnsi="Times New Roman" w:cs="Times New Roman"/>
          <w:b/>
          <w:bCs/>
          <w:sz w:val="24"/>
          <w:szCs w:val="24"/>
        </w:rPr>
      </w:pPr>
      <w:r w:rsidRPr="002F6B27">
        <w:rPr>
          <w:rFonts w:ascii="Times New Roman" w:eastAsia="SimSun" w:hAnsi="Times New Roman" w:cs="Times New Roman"/>
          <w:b/>
          <w:bCs/>
          <w:sz w:val="24"/>
          <w:szCs w:val="24"/>
        </w:rPr>
        <w:t>(</w:t>
      </w:r>
      <w:r w:rsidRPr="002F6B27">
        <w:rPr>
          <w:rFonts w:ascii="Times New Roman" w:eastAsia="SimSun" w:hAnsi="Times New Roman" w:cs="Times New Roman" w:hint="eastAsia"/>
          <w:b/>
          <w:bCs/>
          <w:sz w:val="24"/>
          <w:szCs w:val="24"/>
        </w:rPr>
        <w:t>股份代號</w:t>
      </w:r>
      <w:r w:rsidRPr="002F6B27">
        <w:rPr>
          <w:rFonts w:ascii="Times New Roman" w:eastAsia="SimSun" w:hAnsi="Times New Roman" w:cs="Times New Roman"/>
          <w:b/>
          <w:bCs/>
          <w:sz w:val="24"/>
          <w:szCs w:val="24"/>
        </w:rPr>
        <w:t xml:space="preserve"> : 00009)</w:t>
      </w:r>
    </w:p>
    <w:p w14:paraId="03F297F7" w14:textId="77777777" w:rsidR="00D420AA" w:rsidRDefault="00D420AA" w:rsidP="00D420AA">
      <w:pPr>
        <w:pStyle w:val="Default"/>
      </w:pPr>
    </w:p>
    <w:p w14:paraId="64834877" w14:textId="0CBC87B8" w:rsidR="00FB5FA0" w:rsidRDefault="00D420AA" w:rsidP="00D420AA">
      <w:pPr>
        <w:widowControl w:val="0"/>
        <w:kinsoku/>
        <w:autoSpaceDE/>
        <w:autoSpaceDN/>
        <w:adjustRightInd/>
        <w:snapToGrid/>
        <w:jc w:val="center"/>
        <w:textAlignment w:val="auto"/>
        <w:rPr>
          <w:rFonts w:ascii="Times New Roman" w:eastAsia="新細明體" w:hAnsi="Times New Roman" w:cs="Times New Roman"/>
          <w:b/>
          <w:bCs/>
          <w:sz w:val="24"/>
          <w:szCs w:val="24"/>
        </w:rPr>
      </w:pPr>
      <w:r>
        <w:t xml:space="preserve"> </w:t>
      </w:r>
      <w:r w:rsidRPr="00D420AA">
        <w:rPr>
          <w:rFonts w:asciiTheme="minorEastAsia" w:eastAsiaTheme="minorEastAsia" w:hAnsiTheme="minorEastAsia" w:cs="Times New Roman" w:hint="eastAsia"/>
          <w:b/>
          <w:bCs/>
          <w:snapToGrid/>
          <w:color w:val="auto"/>
          <w:spacing w:val="-6"/>
          <w:kern w:val="2"/>
          <w:sz w:val="24"/>
          <w:szCs w:val="24"/>
          <w14:ligatures w14:val="standardContextual"/>
        </w:rPr>
        <w:t>內幕消息</w:t>
      </w:r>
    </w:p>
    <w:p w14:paraId="654AB155" w14:textId="1CAB470C" w:rsidR="00D82AE8" w:rsidRPr="00413A70" w:rsidRDefault="00D82AE8" w:rsidP="00D82AE8">
      <w:pPr>
        <w:widowControl w:val="0"/>
        <w:kinsoku/>
        <w:autoSpaceDE/>
        <w:autoSpaceDN/>
        <w:adjustRightInd/>
        <w:snapToGrid/>
        <w:jc w:val="center"/>
        <w:textAlignment w:val="auto"/>
        <w:rPr>
          <w:rFonts w:asciiTheme="minorEastAsia" w:eastAsia="新細明體" w:hAnsiTheme="minorEastAsia" w:cs="Times New Roman"/>
          <w:b/>
          <w:bCs/>
          <w:snapToGrid/>
          <w:color w:val="auto"/>
          <w:spacing w:val="-6"/>
          <w:kern w:val="2"/>
          <w:sz w:val="24"/>
          <w:szCs w:val="24"/>
          <w14:ligatures w14:val="standardContextual"/>
        </w:rPr>
      </w:pPr>
      <w:r w:rsidRPr="00413A70">
        <w:rPr>
          <w:rFonts w:asciiTheme="minorEastAsia" w:eastAsiaTheme="minorEastAsia" w:hAnsiTheme="minorEastAsia" w:cs="Times New Roman"/>
          <w:b/>
          <w:bCs/>
          <w:snapToGrid/>
          <w:color w:val="auto"/>
          <w:spacing w:val="-6"/>
          <w:kern w:val="2"/>
          <w:sz w:val="24"/>
          <w:szCs w:val="24"/>
          <w14:ligatures w14:val="standardContextual"/>
        </w:rPr>
        <w:t>(1)</w:t>
      </w:r>
      <w:r w:rsidR="00B210E0" w:rsidRPr="0038541A">
        <w:rPr>
          <w:rFonts w:asciiTheme="minorEastAsia" w:eastAsiaTheme="minorEastAsia" w:hAnsiTheme="minorEastAsia" w:cs="Times New Roman" w:hint="eastAsia"/>
          <w:b/>
          <w:bCs/>
          <w:snapToGrid/>
          <w:color w:val="auto"/>
          <w:spacing w:val="-6"/>
          <w:kern w:val="2"/>
          <w:sz w:val="24"/>
          <w:szCs w:val="24"/>
          <w14:ligatures w14:val="standardContextual"/>
        </w:rPr>
        <w:t xml:space="preserve"> </w:t>
      </w:r>
      <w:r w:rsidR="00B83B93" w:rsidRPr="00B83B93">
        <w:rPr>
          <w:rFonts w:asciiTheme="minorEastAsia" w:eastAsiaTheme="minorEastAsia" w:hAnsiTheme="minorEastAsia" w:cs="Times New Roman"/>
          <w:b/>
          <w:bCs/>
          <w:snapToGrid/>
          <w:color w:val="auto"/>
          <w:spacing w:val="-6"/>
          <w:kern w:val="2"/>
          <w:sz w:val="24"/>
          <w:szCs w:val="24"/>
          <w14:ligatures w14:val="standardContextual"/>
        </w:rPr>
        <w:t>復牌指引</w:t>
      </w:r>
      <w:r w:rsidRPr="00413A70">
        <w:rPr>
          <w:rFonts w:asciiTheme="minorEastAsia" w:eastAsiaTheme="minorEastAsia" w:hAnsiTheme="minorEastAsia" w:cs="Times New Roman" w:hint="eastAsia"/>
          <w:b/>
          <w:bCs/>
          <w:snapToGrid/>
          <w:color w:val="auto"/>
          <w:spacing w:val="-6"/>
          <w:kern w:val="2"/>
          <w:sz w:val="24"/>
          <w:szCs w:val="24"/>
          <w14:ligatures w14:val="standardContextual"/>
        </w:rPr>
        <w:t>；</w:t>
      </w:r>
    </w:p>
    <w:p w14:paraId="7C180F5B" w14:textId="48CE2FA8" w:rsidR="00D82AE8" w:rsidRPr="00413A70" w:rsidRDefault="00D82AE8" w:rsidP="00D82AE8">
      <w:pPr>
        <w:widowControl w:val="0"/>
        <w:kinsoku/>
        <w:autoSpaceDE/>
        <w:autoSpaceDN/>
        <w:adjustRightInd/>
        <w:snapToGrid/>
        <w:jc w:val="center"/>
        <w:textAlignment w:val="auto"/>
        <w:rPr>
          <w:rFonts w:asciiTheme="minorEastAsia" w:eastAsia="新細明體" w:hAnsiTheme="minorEastAsia" w:cs="Times New Roman"/>
          <w:b/>
          <w:bCs/>
          <w:snapToGrid/>
          <w:color w:val="auto"/>
          <w:spacing w:val="-6"/>
          <w:kern w:val="2"/>
          <w:sz w:val="24"/>
          <w:szCs w:val="24"/>
          <w14:ligatures w14:val="standardContextual"/>
        </w:rPr>
      </w:pPr>
      <w:r w:rsidRPr="00413A70">
        <w:rPr>
          <w:rFonts w:asciiTheme="minorEastAsia" w:eastAsiaTheme="minorEastAsia" w:hAnsiTheme="minorEastAsia" w:cs="Times New Roman"/>
          <w:b/>
          <w:bCs/>
          <w:snapToGrid/>
          <w:color w:val="auto"/>
          <w:spacing w:val="-6"/>
          <w:kern w:val="2"/>
          <w:sz w:val="24"/>
          <w:szCs w:val="24"/>
          <w14:ligatures w14:val="standardContextual"/>
        </w:rPr>
        <w:t>(2)</w:t>
      </w:r>
      <w:r w:rsidR="00B83B93" w:rsidRPr="00B83B93">
        <w:rPr>
          <w:rFonts w:ascii="新細明體" w:eastAsia="新細明體" w:hAnsi="新細明體" w:cs="新細明體"/>
        </w:rPr>
        <w:t xml:space="preserve"> </w:t>
      </w:r>
      <w:r w:rsidR="00B83B93" w:rsidRPr="00B83B93">
        <w:rPr>
          <w:rFonts w:asciiTheme="minorEastAsia" w:eastAsiaTheme="minorEastAsia" w:hAnsiTheme="minorEastAsia" w:cs="Times New Roman"/>
          <w:b/>
          <w:bCs/>
          <w:snapToGrid/>
          <w:color w:val="auto"/>
          <w:spacing w:val="-6"/>
          <w:kern w:val="2"/>
          <w:sz w:val="24"/>
          <w:szCs w:val="24"/>
          <w14:ligatures w14:val="standardContextual"/>
        </w:rPr>
        <w:t>復牌進展之季度更新資料</w:t>
      </w:r>
      <w:r w:rsidRPr="00413A70">
        <w:rPr>
          <w:rFonts w:asciiTheme="minorEastAsia" w:eastAsiaTheme="minorEastAsia" w:hAnsiTheme="minorEastAsia" w:cs="Times New Roman" w:hint="eastAsia"/>
          <w:b/>
          <w:bCs/>
          <w:snapToGrid/>
          <w:color w:val="auto"/>
          <w:spacing w:val="-6"/>
          <w:kern w:val="2"/>
          <w:sz w:val="24"/>
          <w:szCs w:val="24"/>
          <w14:ligatures w14:val="standardContextual"/>
        </w:rPr>
        <w:t>；</w:t>
      </w:r>
    </w:p>
    <w:p w14:paraId="2B8F6980" w14:textId="1E4B66D3" w:rsidR="00977D99" w:rsidRPr="00413A70" w:rsidRDefault="00D82AE8" w:rsidP="00D82AE8">
      <w:pPr>
        <w:widowControl w:val="0"/>
        <w:kinsoku/>
        <w:autoSpaceDE/>
        <w:autoSpaceDN/>
        <w:adjustRightInd/>
        <w:snapToGrid/>
        <w:jc w:val="center"/>
        <w:textAlignment w:val="auto"/>
        <w:rPr>
          <w:rFonts w:asciiTheme="minorEastAsia" w:eastAsiaTheme="minorEastAsia" w:hAnsiTheme="minorEastAsia" w:cs="Times New Roman"/>
          <w:b/>
          <w:bCs/>
          <w:snapToGrid/>
          <w:color w:val="auto"/>
          <w:spacing w:val="-6"/>
          <w:kern w:val="2"/>
          <w:sz w:val="24"/>
          <w:szCs w:val="24"/>
          <w14:ligatures w14:val="standardContextual"/>
        </w:rPr>
      </w:pPr>
      <w:r w:rsidRPr="00413A70">
        <w:rPr>
          <w:rFonts w:asciiTheme="minorEastAsia" w:eastAsiaTheme="minorEastAsia" w:hAnsiTheme="minorEastAsia" w:cs="Times New Roman"/>
          <w:b/>
          <w:bCs/>
          <w:snapToGrid/>
          <w:color w:val="auto"/>
          <w:spacing w:val="-6"/>
          <w:kern w:val="2"/>
          <w:sz w:val="24"/>
          <w:szCs w:val="24"/>
          <w14:ligatures w14:val="standardContextual"/>
        </w:rPr>
        <w:t>(3)</w:t>
      </w:r>
      <w:r w:rsidR="00B83B93" w:rsidRPr="00B83B93">
        <w:rPr>
          <w:rFonts w:asciiTheme="minorEastAsia" w:eastAsiaTheme="minorEastAsia" w:hAnsiTheme="minorEastAsia" w:cs="Times New Roman"/>
          <w:b/>
          <w:bCs/>
          <w:snapToGrid/>
          <w:color w:val="auto"/>
          <w:spacing w:val="-6"/>
          <w:kern w:val="2"/>
          <w:sz w:val="24"/>
          <w:szCs w:val="24"/>
          <w14:ligatures w14:val="standardContextual"/>
        </w:rPr>
        <w:t>繼續暫停買賣</w:t>
      </w:r>
    </w:p>
    <w:p w14:paraId="2A3839AE" w14:textId="77777777" w:rsidR="00BA2A5A" w:rsidRPr="002F6B27" w:rsidRDefault="00BA2A5A" w:rsidP="002F6B27">
      <w:pPr>
        <w:spacing w:before="130" w:line="190" w:lineRule="auto"/>
        <w:jc w:val="center"/>
        <w:rPr>
          <w:rFonts w:ascii="Times New Roman" w:eastAsia="新細明體" w:hAnsi="Times New Roman" w:cs="Times New Roman"/>
          <w:b/>
          <w:bCs/>
          <w:sz w:val="28"/>
          <w:szCs w:val="28"/>
        </w:rPr>
      </w:pPr>
    </w:p>
    <w:p w14:paraId="19736206" w14:textId="2FDE74DC" w:rsidR="00977D99" w:rsidRPr="00D236AA" w:rsidRDefault="00977D99" w:rsidP="00977D99">
      <w:pPr>
        <w:widowControl w:val="0"/>
        <w:kinsoku/>
        <w:autoSpaceDE/>
        <w:autoSpaceDN/>
        <w:adjustRightInd/>
        <w:snapToGrid/>
        <w:jc w:val="both"/>
        <w:textAlignment w:val="auto"/>
        <w:rPr>
          <w:rFonts w:asciiTheme="minorEastAsia" w:eastAsiaTheme="minorEastAsia" w:hAnsiTheme="minorEastAsia" w:cs="Times New Roman"/>
          <w:snapToGrid/>
          <w:color w:val="auto"/>
          <w:kern w:val="2"/>
          <w:sz w:val="24"/>
          <w:szCs w:val="22"/>
          <w14:ligatures w14:val="standardContextual"/>
        </w:rPr>
      </w:pPr>
      <w:r w:rsidRPr="00D236AA">
        <w:rPr>
          <w:rFonts w:asciiTheme="minorEastAsia" w:eastAsiaTheme="minorEastAsia" w:hAnsiTheme="minorEastAsia" w:cs="Times New Roman"/>
          <w:snapToGrid/>
          <w:color w:val="auto"/>
          <w:kern w:val="2"/>
          <w:sz w:val="24"/>
          <w:szCs w:val="22"/>
          <w14:ligatures w14:val="standardContextual"/>
        </w:rPr>
        <w:t>本公告乃由</w:t>
      </w:r>
      <w:r w:rsidRPr="00D236AA">
        <w:rPr>
          <w:rFonts w:asciiTheme="minorEastAsia" w:eastAsiaTheme="minorEastAsia" w:hAnsiTheme="minorEastAsia" w:cs="Times New Roman" w:hint="eastAsia"/>
          <w:snapToGrid/>
          <w:color w:val="auto"/>
          <w:spacing w:val="-6"/>
          <w:kern w:val="2"/>
          <w:sz w:val="24"/>
          <w:szCs w:val="24"/>
          <w14:ligatures w14:val="standardContextual"/>
        </w:rPr>
        <w:t>金奧國際股份有限公司</w:t>
      </w:r>
      <w:r w:rsidRPr="00D236AA">
        <w:rPr>
          <w:rFonts w:asciiTheme="minorEastAsia" w:eastAsiaTheme="minorEastAsia" w:hAnsiTheme="minorEastAsia" w:cs="Times New Roman"/>
          <w:snapToGrid/>
          <w:color w:val="auto"/>
          <w:kern w:val="2"/>
          <w:sz w:val="24"/>
          <w:szCs w:val="22"/>
          <w14:ligatures w14:val="standardContextual"/>
        </w:rPr>
        <w:t>（「本公司」，連同其附屬公司統稱「本集團」）董事（「董事」）會（「董事會」）根據香港聯合交易所有限公司</w:t>
      </w:r>
      <w:r w:rsidR="00B83B93" w:rsidRPr="00B83B93">
        <w:rPr>
          <w:rFonts w:asciiTheme="minorEastAsia" w:eastAsiaTheme="minorEastAsia" w:hAnsiTheme="minorEastAsia" w:cs="Times New Roman"/>
          <w:snapToGrid/>
          <w:color w:val="auto"/>
          <w:kern w:val="2"/>
          <w:sz w:val="24"/>
          <w:szCs w:val="22"/>
          <w14:ligatures w14:val="standardContextual"/>
        </w:rPr>
        <w:t>證券上市規則（「上市規則」）第 13.09條及13.24A條以及證券及期貨條例（香港法例第571章）第XIVA部項下內幕 消息條文（定義見上市規則）而作出</w:t>
      </w:r>
      <w:r w:rsidRPr="00D236AA">
        <w:rPr>
          <w:rFonts w:asciiTheme="minorEastAsia" w:eastAsiaTheme="minorEastAsia" w:hAnsiTheme="minorEastAsia" w:cs="Times New Roman"/>
          <w:snapToGrid/>
          <w:color w:val="auto"/>
          <w:kern w:val="2"/>
          <w:sz w:val="24"/>
          <w:szCs w:val="22"/>
          <w14:ligatures w14:val="standardContextual"/>
        </w:rPr>
        <w:t xml:space="preserve">。 </w:t>
      </w:r>
    </w:p>
    <w:p w14:paraId="19523732" w14:textId="77777777" w:rsidR="006A0B41" w:rsidRPr="006A0B41" w:rsidRDefault="006A0B41" w:rsidP="006A0B41">
      <w:pPr>
        <w:widowControl w:val="0"/>
        <w:kinsoku/>
        <w:snapToGrid/>
        <w:textAlignment w:val="auto"/>
        <w:rPr>
          <w:rFonts w:ascii="思源宋體" w:eastAsia="思源宋體" w:cs="思源宋體"/>
          <w:snapToGrid/>
          <w:sz w:val="24"/>
          <w:szCs w:val="24"/>
        </w:rPr>
      </w:pPr>
    </w:p>
    <w:p w14:paraId="1E01FE3D" w14:textId="77777777" w:rsidR="00B83B93" w:rsidRPr="00B83B93" w:rsidRDefault="00B83B93" w:rsidP="00D82AE8">
      <w:pPr>
        <w:widowControl w:val="0"/>
        <w:kinsoku/>
        <w:autoSpaceDE/>
        <w:autoSpaceDN/>
        <w:adjustRightInd/>
        <w:snapToGrid/>
        <w:textAlignment w:val="auto"/>
        <w:rPr>
          <w:rFonts w:asciiTheme="minorEastAsia" w:eastAsiaTheme="minorEastAsia" w:hAnsiTheme="minorEastAsia" w:cs="Times New Roman"/>
          <w:b/>
          <w:bCs/>
          <w:snapToGrid/>
          <w:color w:val="auto"/>
          <w:kern w:val="2"/>
          <w:sz w:val="24"/>
          <w:szCs w:val="22"/>
          <w14:ligatures w14:val="standardContextual"/>
        </w:rPr>
      </w:pPr>
      <w:r w:rsidRPr="00B83B93">
        <w:rPr>
          <w:rFonts w:asciiTheme="minorEastAsia" w:eastAsiaTheme="minorEastAsia" w:hAnsiTheme="minorEastAsia" w:cs="Times New Roman" w:hint="eastAsia"/>
          <w:b/>
          <w:bCs/>
          <w:snapToGrid/>
          <w:color w:val="auto"/>
          <w:kern w:val="2"/>
          <w:sz w:val="24"/>
          <w:szCs w:val="22"/>
          <w14:ligatures w14:val="standardContextual"/>
        </w:rPr>
        <w:t>復牌指引</w:t>
      </w:r>
      <w:r w:rsidRPr="00B83B93">
        <w:rPr>
          <w:rFonts w:asciiTheme="minorEastAsia" w:eastAsiaTheme="minorEastAsia" w:hAnsiTheme="minorEastAsia" w:cs="Times New Roman"/>
          <w:b/>
          <w:bCs/>
          <w:snapToGrid/>
          <w:color w:val="auto"/>
          <w:kern w:val="2"/>
          <w:sz w:val="24"/>
          <w:szCs w:val="22"/>
          <w14:ligatures w14:val="standardContextual"/>
        </w:rPr>
        <w:t xml:space="preserve"> </w:t>
      </w:r>
    </w:p>
    <w:p w14:paraId="3CA42A67" w14:textId="77777777" w:rsidR="00B83B93" w:rsidRDefault="00B83B93" w:rsidP="00D82AE8">
      <w:pPr>
        <w:widowControl w:val="0"/>
        <w:kinsoku/>
        <w:autoSpaceDE/>
        <w:autoSpaceDN/>
        <w:adjustRightInd/>
        <w:snapToGrid/>
        <w:textAlignment w:val="auto"/>
        <w:rPr>
          <w:rFonts w:asciiTheme="minorEastAsia" w:eastAsia="新細明體" w:hAnsiTheme="minorEastAsia" w:cs="Times New Roman"/>
          <w:snapToGrid/>
          <w:color w:val="auto"/>
          <w:kern w:val="2"/>
          <w:sz w:val="24"/>
          <w:szCs w:val="22"/>
          <w14:ligatures w14:val="standardContextual"/>
        </w:rPr>
      </w:pPr>
    </w:p>
    <w:p w14:paraId="46D28BCC" w14:textId="77777777" w:rsidR="00B83B93" w:rsidRDefault="00B83B93" w:rsidP="00D82AE8">
      <w:pPr>
        <w:widowControl w:val="0"/>
        <w:kinsoku/>
        <w:autoSpaceDE/>
        <w:autoSpaceDN/>
        <w:adjustRightInd/>
        <w:snapToGrid/>
        <w:textAlignment w:val="auto"/>
        <w:rPr>
          <w:rFonts w:asciiTheme="minorEastAsia" w:eastAsia="新細明體" w:hAnsiTheme="minorEastAsia" w:cs="Times New Roman"/>
          <w:snapToGrid/>
          <w:color w:val="auto"/>
          <w:kern w:val="2"/>
          <w:sz w:val="24"/>
          <w:szCs w:val="22"/>
          <w14:ligatures w14:val="standardContextual"/>
        </w:rPr>
      </w:pPr>
      <w:r w:rsidRPr="00B83B93">
        <w:rPr>
          <w:rFonts w:asciiTheme="minorEastAsia" w:eastAsiaTheme="minorEastAsia" w:hAnsiTheme="minorEastAsia" w:cs="Times New Roman" w:hint="eastAsia"/>
          <w:snapToGrid/>
          <w:color w:val="auto"/>
          <w:kern w:val="2"/>
          <w:sz w:val="24"/>
          <w:szCs w:val="22"/>
          <w14:ligatures w14:val="standardContextual"/>
        </w:rPr>
        <w:t>於</w:t>
      </w:r>
      <w:r w:rsidRPr="00B83B93">
        <w:rPr>
          <w:rFonts w:asciiTheme="minorEastAsia" w:eastAsiaTheme="minorEastAsia" w:hAnsiTheme="minorEastAsia" w:cs="Times New Roman"/>
          <w:snapToGrid/>
          <w:color w:val="auto"/>
          <w:kern w:val="2"/>
          <w:sz w:val="24"/>
          <w:szCs w:val="22"/>
          <w14:ligatures w14:val="standardContextual"/>
        </w:rPr>
        <w:t>2024</w:t>
      </w:r>
      <w:r w:rsidRPr="00B83B93">
        <w:rPr>
          <w:rFonts w:asciiTheme="minorEastAsia" w:eastAsiaTheme="minorEastAsia" w:hAnsiTheme="minorEastAsia" w:cs="Times New Roman" w:hint="eastAsia"/>
          <w:snapToGrid/>
          <w:color w:val="auto"/>
          <w:kern w:val="2"/>
          <w:sz w:val="24"/>
          <w:szCs w:val="22"/>
          <w14:ligatures w14:val="standardContextual"/>
        </w:rPr>
        <w:t>年</w:t>
      </w:r>
      <w:r w:rsidRPr="00B83B93">
        <w:rPr>
          <w:rFonts w:asciiTheme="minorEastAsia" w:eastAsiaTheme="minorEastAsia" w:hAnsiTheme="minorEastAsia" w:cs="Times New Roman"/>
          <w:snapToGrid/>
          <w:color w:val="auto"/>
          <w:kern w:val="2"/>
          <w:sz w:val="24"/>
          <w:szCs w:val="22"/>
          <w14:ligatures w14:val="standardContextual"/>
        </w:rPr>
        <w:t>6</w:t>
      </w:r>
      <w:r w:rsidRPr="00B83B93">
        <w:rPr>
          <w:rFonts w:asciiTheme="minorEastAsia" w:eastAsiaTheme="minorEastAsia" w:hAnsiTheme="minorEastAsia" w:cs="Times New Roman" w:hint="eastAsia"/>
          <w:snapToGrid/>
          <w:color w:val="auto"/>
          <w:kern w:val="2"/>
          <w:sz w:val="24"/>
          <w:szCs w:val="22"/>
          <w14:ligatures w14:val="standardContextual"/>
        </w:rPr>
        <w:t>月</w:t>
      </w:r>
      <w:r w:rsidRPr="00B83B93">
        <w:rPr>
          <w:rFonts w:asciiTheme="minorEastAsia" w:eastAsiaTheme="minorEastAsia" w:hAnsiTheme="minorEastAsia" w:cs="Times New Roman"/>
          <w:snapToGrid/>
          <w:color w:val="auto"/>
          <w:kern w:val="2"/>
          <w:sz w:val="24"/>
          <w:szCs w:val="22"/>
          <w14:ligatures w14:val="standardContextual"/>
        </w:rPr>
        <w:t>24</w:t>
      </w:r>
      <w:r w:rsidRPr="00B83B93">
        <w:rPr>
          <w:rFonts w:asciiTheme="minorEastAsia" w:eastAsiaTheme="minorEastAsia" w:hAnsiTheme="minorEastAsia" w:cs="Times New Roman" w:hint="eastAsia"/>
          <w:snapToGrid/>
          <w:color w:val="auto"/>
          <w:kern w:val="2"/>
          <w:sz w:val="24"/>
          <w:szCs w:val="22"/>
          <w14:ligatures w14:val="standardContextual"/>
        </w:rPr>
        <w:t>日，本公司接獲聯交所發出的復牌指引（「復牌指引」）：</w:t>
      </w:r>
      <w:r w:rsidRPr="00B83B93">
        <w:rPr>
          <w:rFonts w:asciiTheme="minorEastAsia" w:eastAsiaTheme="minorEastAsia" w:hAnsiTheme="minorEastAsia" w:cs="Times New Roman"/>
          <w:snapToGrid/>
          <w:color w:val="auto"/>
          <w:kern w:val="2"/>
          <w:sz w:val="24"/>
          <w:szCs w:val="22"/>
          <w14:ligatures w14:val="standardContextual"/>
        </w:rPr>
        <w:t xml:space="preserve"> </w:t>
      </w:r>
    </w:p>
    <w:p w14:paraId="2E9EA8BE" w14:textId="77777777" w:rsidR="00B83B93" w:rsidRDefault="00B83B93" w:rsidP="00D82AE8">
      <w:pPr>
        <w:widowControl w:val="0"/>
        <w:kinsoku/>
        <w:autoSpaceDE/>
        <w:autoSpaceDN/>
        <w:adjustRightInd/>
        <w:snapToGrid/>
        <w:textAlignment w:val="auto"/>
        <w:rPr>
          <w:rFonts w:asciiTheme="minorEastAsia" w:eastAsia="新細明體" w:hAnsiTheme="minorEastAsia" w:cs="Times New Roman"/>
          <w:snapToGrid/>
          <w:color w:val="auto"/>
          <w:kern w:val="2"/>
          <w:sz w:val="24"/>
          <w:szCs w:val="22"/>
          <w14:ligatures w14:val="standardContextual"/>
        </w:rPr>
      </w:pPr>
    </w:p>
    <w:p w14:paraId="2C590B9A" w14:textId="6F1EDC99" w:rsidR="00B83B93" w:rsidRPr="00B83B93" w:rsidRDefault="00B83B93" w:rsidP="00B83B93">
      <w:pPr>
        <w:pStyle w:val="a8"/>
        <w:widowControl w:val="0"/>
        <w:numPr>
          <w:ilvl w:val="0"/>
          <w:numId w:val="7"/>
        </w:numPr>
        <w:kinsoku/>
        <w:autoSpaceDE/>
        <w:autoSpaceDN/>
        <w:adjustRightInd/>
        <w:snapToGrid/>
        <w:ind w:leftChars="0"/>
        <w:textAlignment w:val="auto"/>
        <w:rPr>
          <w:rFonts w:asciiTheme="minorEastAsia" w:eastAsia="新細明體" w:hAnsiTheme="minorEastAsia" w:cs="Times New Roman"/>
          <w:snapToGrid/>
          <w:color w:val="auto"/>
          <w:kern w:val="2"/>
          <w:sz w:val="24"/>
          <w:szCs w:val="22"/>
          <w14:ligatures w14:val="standardContextual"/>
        </w:rPr>
      </w:pPr>
      <w:r w:rsidRPr="00B83B93">
        <w:rPr>
          <w:rFonts w:asciiTheme="minorEastAsia" w:eastAsiaTheme="minorEastAsia" w:hAnsiTheme="minorEastAsia" w:cs="Times New Roman" w:hint="eastAsia"/>
          <w:snapToGrid/>
          <w:color w:val="auto"/>
          <w:kern w:val="2"/>
          <w:sz w:val="24"/>
          <w:szCs w:val="22"/>
          <w14:ligatures w14:val="standardContextual"/>
        </w:rPr>
        <w:t>根據上市規則之規定刊發所有尚未公佈之財務業績及處理任何審核修訂；</w:t>
      </w:r>
      <w:r w:rsidRPr="00B83B93">
        <w:rPr>
          <w:rFonts w:asciiTheme="minorEastAsia" w:eastAsiaTheme="minorEastAsia" w:hAnsiTheme="minorEastAsia" w:cs="Times New Roman"/>
          <w:snapToGrid/>
          <w:color w:val="auto"/>
          <w:kern w:val="2"/>
          <w:sz w:val="24"/>
          <w:szCs w:val="22"/>
          <w14:ligatures w14:val="standardContextual"/>
        </w:rPr>
        <w:t xml:space="preserve"> </w:t>
      </w:r>
    </w:p>
    <w:p w14:paraId="2ABB2880" w14:textId="77777777" w:rsidR="00B83B93" w:rsidRDefault="00B83B93" w:rsidP="00B83B93">
      <w:pPr>
        <w:widowControl w:val="0"/>
        <w:kinsoku/>
        <w:autoSpaceDE/>
        <w:autoSpaceDN/>
        <w:adjustRightInd/>
        <w:snapToGrid/>
        <w:textAlignment w:val="auto"/>
        <w:rPr>
          <w:rFonts w:asciiTheme="minorEastAsia" w:eastAsia="新細明體" w:hAnsiTheme="minorEastAsia" w:cs="Times New Roman"/>
          <w:snapToGrid/>
          <w:color w:val="auto"/>
          <w:kern w:val="2"/>
          <w:sz w:val="24"/>
          <w:szCs w:val="22"/>
          <w14:ligatures w14:val="standardContextual"/>
        </w:rPr>
      </w:pPr>
    </w:p>
    <w:p w14:paraId="4678C185" w14:textId="21A4F6FE" w:rsidR="00B83B93" w:rsidRPr="00B83B93" w:rsidRDefault="00B83B93" w:rsidP="00B83B93">
      <w:pPr>
        <w:pStyle w:val="a8"/>
        <w:widowControl w:val="0"/>
        <w:numPr>
          <w:ilvl w:val="0"/>
          <w:numId w:val="7"/>
        </w:numPr>
        <w:kinsoku/>
        <w:autoSpaceDE/>
        <w:autoSpaceDN/>
        <w:adjustRightInd/>
        <w:snapToGrid/>
        <w:ind w:leftChars="0"/>
        <w:textAlignment w:val="auto"/>
        <w:rPr>
          <w:rFonts w:asciiTheme="minorEastAsia" w:eastAsia="新細明體" w:hAnsiTheme="minorEastAsia" w:cs="Times New Roman"/>
          <w:snapToGrid/>
          <w:color w:val="auto"/>
          <w:kern w:val="2"/>
          <w:sz w:val="24"/>
          <w:szCs w:val="22"/>
          <w14:ligatures w14:val="standardContextual"/>
        </w:rPr>
      </w:pPr>
      <w:r w:rsidRPr="00B83B93">
        <w:rPr>
          <w:rFonts w:asciiTheme="minorEastAsia" w:eastAsiaTheme="minorEastAsia" w:hAnsiTheme="minorEastAsia" w:cs="Times New Roman" w:hint="eastAsia"/>
          <w:snapToGrid/>
          <w:color w:val="auto"/>
          <w:kern w:val="2"/>
          <w:sz w:val="24"/>
          <w:szCs w:val="22"/>
          <w14:ligatures w14:val="standardContextual"/>
        </w:rPr>
        <w:t>證明本公司遵守上市規則第</w:t>
      </w:r>
      <w:r w:rsidRPr="00B83B93">
        <w:rPr>
          <w:rFonts w:asciiTheme="minorEastAsia" w:eastAsiaTheme="minorEastAsia" w:hAnsiTheme="minorEastAsia" w:cs="Times New Roman"/>
          <w:snapToGrid/>
          <w:color w:val="auto"/>
          <w:kern w:val="2"/>
          <w:sz w:val="24"/>
          <w:szCs w:val="22"/>
          <w14:ligatures w14:val="standardContextual"/>
        </w:rPr>
        <w:t>13.24</w:t>
      </w:r>
      <w:r w:rsidRPr="00B83B93">
        <w:rPr>
          <w:rFonts w:asciiTheme="minorEastAsia" w:eastAsiaTheme="minorEastAsia" w:hAnsiTheme="minorEastAsia" w:cs="Times New Roman" w:hint="eastAsia"/>
          <w:snapToGrid/>
          <w:color w:val="auto"/>
          <w:kern w:val="2"/>
          <w:sz w:val="24"/>
          <w:szCs w:val="22"/>
          <w14:ligatures w14:val="standardContextual"/>
        </w:rPr>
        <w:t>條；及</w:t>
      </w:r>
      <w:r w:rsidRPr="00B83B93">
        <w:rPr>
          <w:rFonts w:asciiTheme="minorEastAsia" w:eastAsiaTheme="minorEastAsia" w:hAnsiTheme="minorEastAsia" w:cs="Times New Roman"/>
          <w:snapToGrid/>
          <w:color w:val="auto"/>
          <w:kern w:val="2"/>
          <w:sz w:val="24"/>
          <w:szCs w:val="22"/>
          <w14:ligatures w14:val="standardContextual"/>
        </w:rPr>
        <w:t xml:space="preserve"> </w:t>
      </w:r>
    </w:p>
    <w:p w14:paraId="662E6484" w14:textId="77777777" w:rsidR="00B83B93" w:rsidRPr="00B83B93" w:rsidRDefault="00B83B93" w:rsidP="00B83B93">
      <w:pPr>
        <w:pStyle w:val="a8"/>
        <w:ind w:left="420"/>
        <w:rPr>
          <w:rFonts w:asciiTheme="minorEastAsia" w:eastAsiaTheme="minorEastAsia" w:hAnsiTheme="minorEastAsia" w:cs="Times New Roman"/>
          <w:snapToGrid/>
          <w:color w:val="auto"/>
          <w:kern w:val="2"/>
          <w:sz w:val="24"/>
          <w:szCs w:val="22"/>
          <w14:ligatures w14:val="standardContextual"/>
        </w:rPr>
      </w:pPr>
    </w:p>
    <w:p w14:paraId="64B74064" w14:textId="652E2D78" w:rsidR="00B83B93" w:rsidRPr="00B83B93" w:rsidRDefault="00B83B93" w:rsidP="00B83B93">
      <w:pPr>
        <w:pStyle w:val="a8"/>
        <w:widowControl w:val="0"/>
        <w:numPr>
          <w:ilvl w:val="0"/>
          <w:numId w:val="7"/>
        </w:numPr>
        <w:kinsoku/>
        <w:autoSpaceDE/>
        <w:autoSpaceDN/>
        <w:adjustRightInd/>
        <w:snapToGrid/>
        <w:ind w:leftChars="0"/>
        <w:textAlignment w:val="auto"/>
        <w:rPr>
          <w:rFonts w:asciiTheme="minorEastAsia" w:eastAsia="新細明體" w:hAnsiTheme="minorEastAsia" w:cs="Times New Roman"/>
          <w:snapToGrid/>
          <w:color w:val="auto"/>
          <w:kern w:val="2"/>
          <w:sz w:val="24"/>
          <w:szCs w:val="22"/>
          <w14:ligatures w14:val="standardContextual"/>
        </w:rPr>
      </w:pPr>
      <w:r w:rsidRPr="00B83B93">
        <w:rPr>
          <w:rFonts w:asciiTheme="minorEastAsia" w:eastAsiaTheme="minorEastAsia" w:hAnsiTheme="minorEastAsia" w:cs="Times New Roman" w:hint="eastAsia"/>
          <w:snapToGrid/>
          <w:color w:val="auto"/>
          <w:kern w:val="2"/>
          <w:sz w:val="24"/>
          <w:szCs w:val="22"/>
          <w14:ligatures w14:val="standardContextual"/>
        </w:rPr>
        <w:t>向市場公佈所有重大資料，以便本公司股東及其他投資者評估本公司狀況。</w:t>
      </w:r>
      <w:r w:rsidRPr="00B83B93">
        <w:rPr>
          <w:rFonts w:asciiTheme="minorEastAsia" w:eastAsiaTheme="minorEastAsia" w:hAnsiTheme="minorEastAsia" w:cs="Times New Roman"/>
          <w:snapToGrid/>
          <w:color w:val="auto"/>
          <w:kern w:val="2"/>
          <w:sz w:val="24"/>
          <w:szCs w:val="22"/>
          <w14:ligatures w14:val="standardContextual"/>
        </w:rPr>
        <w:t xml:space="preserve"> </w:t>
      </w:r>
    </w:p>
    <w:p w14:paraId="5D3950CD" w14:textId="77777777" w:rsidR="00B83B93" w:rsidRPr="00B83B93" w:rsidRDefault="00B83B93" w:rsidP="00B83B93">
      <w:pPr>
        <w:pStyle w:val="a8"/>
        <w:ind w:left="420"/>
        <w:rPr>
          <w:rFonts w:asciiTheme="minorEastAsia" w:eastAsiaTheme="minorEastAsia" w:hAnsiTheme="minorEastAsia" w:cs="Times New Roman" w:hint="eastAsia"/>
          <w:snapToGrid/>
          <w:color w:val="auto"/>
          <w:kern w:val="2"/>
          <w:sz w:val="24"/>
          <w:szCs w:val="22"/>
          <w14:ligatures w14:val="standardContextual"/>
        </w:rPr>
      </w:pPr>
    </w:p>
    <w:p w14:paraId="34E71423" w14:textId="294E38AC" w:rsidR="00B210E0" w:rsidRPr="00B83B93" w:rsidRDefault="00B83B93" w:rsidP="00B83B93">
      <w:pPr>
        <w:widowControl w:val="0"/>
        <w:kinsoku/>
        <w:autoSpaceDE/>
        <w:autoSpaceDN/>
        <w:adjustRightInd/>
        <w:snapToGrid/>
        <w:textAlignment w:val="auto"/>
        <w:rPr>
          <w:rFonts w:ascii="新細明體" w:eastAsia="新細明體" w:hAnsi="新細明體" w:cs="新細明體"/>
        </w:rPr>
      </w:pPr>
      <w:r w:rsidRPr="00B83B93">
        <w:rPr>
          <w:rFonts w:asciiTheme="minorEastAsia" w:eastAsiaTheme="minorEastAsia" w:hAnsiTheme="minorEastAsia" w:cs="Times New Roman" w:hint="eastAsia"/>
          <w:snapToGrid/>
          <w:color w:val="auto"/>
          <w:kern w:val="2"/>
          <w:sz w:val="24"/>
          <w:szCs w:val="22"/>
          <w14:ligatures w14:val="standardContextual"/>
        </w:rPr>
        <w:t>聯交所指出，本公司須滿足復牌指引、對導致其暫停買賣的事項作出補救及全面遵守上市規則以令聯交所信納，方可獲准恢復其證券買賣。就此而言，本公司負有主要責任制定復牌計劃。聯交所進一步指出，倘本公司的情況發生變化，其可能修訂或補充復牌指引。</w:t>
      </w:r>
    </w:p>
    <w:p w14:paraId="2C4A09DC" w14:textId="77777777" w:rsidR="00B210E0" w:rsidRDefault="00B210E0" w:rsidP="00D82AE8">
      <w:pPr>
        <w:widowControl w:val="0"/>
        <w:kinsoku/>
        <w:autoSpaceDE/>
        <w:autoSpaceDN/>
        <w:adjustRightInd/>
        <w:snapToGrid/>
        <w:textAlignment w:val="auto"/>
        <w:rPr>
          <w:rFonts w:asciiTheme="minorEastAsia" w:eastAsia="新細明體" w:hAnsiTheme="minorEastAsia" w:cs="Times New Roman"/>
          <w:snapToGrid/>
          <w:color w:val="auto"/>
          <w:kern w:val="2"/>
          <w:sz w:val="24"/>
          <w:szCs w:val="22"/>
          <w14:ligatures w14:val="standardContextual"/>
        </w:rPr>
      </w:pPr>
    </w:p>
    <w:p w14:paraId="116D5A45" w14:textId="77777777" w:rsidR="00B83B93" w:rsidRDefault="00B83B93" w:rsidP="00D82AE8">
      <w:pPr>
        <w:widowControl w:val="0"/>
        <w:kinsoku/>
        <w:autoSpaceDE/>
        <w:autoSpaceDN/>
        <w:adjustRightInd/>
        <w:snapToGrid/>
        <w:textAlignment w:val="auto"/>
        <w:rPr>
          <w:rFonts w:ascii="新細明體" w:eastAsia="新細明體" w:hAnsi="新細明體" w:cs="新細明體"/>
        </w:rPr>
      </w:pPr>
      <w:r w:rsidRPr="00B83B93">
        <w:rPr>
          <w:rFonts w:ascii="新細明體" w:eastAsia="新細明體" w:hAnsi="新細明體" w:cs="新細明體" w:hint="eastAsia"/>
        </w:rPr>
        <w:t>根據上市規則第</w:t>
      </w:r>
      <w:r w:rsidRPr="00B83B93">
        <w:rPr>
          <w:rFonts w:ascii="新細明體" w:eastAsia="新細明體" w:hAnsi="新細明體" w:cs="新細明體"/>
        </w:rPr>
        <w:t>6.01A(1)</w:t>
      </w:r>
      <w:r w:rsidRPr="00B83B93">
        <w:rPr>
          <w:rFonts w:ascii="新細明體" w:eastAsia="新細明體" w:hAnsi="新細明體" w:cs="新細明體" w:hint="eastAsia"/>
        </w:rPr>
        <w:t>條，聯交所可將已連續暫停買賣</w:t>
      </w:r>
      <w:r w:rsidRPr="00B83B93">
        <w:rPr>
          <w:rFonts w:ascii="新細明體" w:eastAsia="新細明體" w:hAnsi="新細明體" w:cs="新細明體"/>
        </w:rPr>
        <w:t>18</w:t>
      </w:r>
      <w:r w:rsidRPr="00B83B93">
        <w:rPr>
          <w:rFonts w:ascii="新細明體" w:eastAsia="新細明體" w:hAnsi="新細明體" w:cs="新細明體" w:hint="eastAsia"/>
        </w:rPr>
        <w:t>個月的證券除牌。就本公司而言，</w:t>
      </w:r>
      <w:r w:rsidRPr="00B83B93">
        <w:rPr>
          <w:rFonts w:ascii="新細明體" w:eastAsia="新細明體" w:hAnsi="新細明體" w:cs="新細明體"/>
        </w:rPr>
        <w:t>18</w:t>
      </w:r>
      <w:r w:rsidRPr="00B83B93">
        <w:rPr>
          <w:rFonts w:ascii="新細明體" w:eastAsia="新細明體" w:hAnsi="新細明體" w:cs="新細明體" w:hint="eastAsia"/>
        </w:rPr>
        <w:t>個月期限將於</w:t>
      </w:r>
      <w:r w:rsidRPr="00B83B93">
        <w:rPr>
          <w:rFonts w:ascii="新細明體" w:eastAsia="新細明體" w:hAnsi="新細明體" w:cs="新細明體"/>
        </w:rPr>
        <w:t>2025</w:t>
      </w:r>
      <w:r w:rsidRPr="00B83B93">
        <w:rPr>
          <w:rFonts w:ascii="新細明體" w:eastAsia="新細明體" w:hAnsi="新細明體" w:cs="新細明體" w:hint="eastAsia"/>
        </w:rPr>
        <w:t>年</w:t>
      </w:r>
      <w:r w:rsidRPr="00B83B93">
        <w:rPr>
          <w:rFonts w:ascii="新細明體" w:eastAsia="新細明體" w:hAnsi="新細明體" w:cs="新細明體"/>
        </w:rPr>
        <w:t>10</w:t>
      </w:r>
      <w:r w:rsidRPr="00B83B93">
        <w:rPr>
          <w:rFonts w:ascii="新細明體" w:eastAsia="新細明體" w:hAnsi="新細明體" w:cs="新細明體" w:hint="eastAsia"/>
        </w:rPr>
        <w:t>月</w:t>
      </w:r>
      <w:r w:rsidRPr="00B83B93">
        <w:rPr>
          <w:rFonts w:ascii="新細明體" w:eastAsia="新細明體" w:hAnsi="新細明體" w:cs="新細明體"/>
        </w:rPr>
        <w:t>1</w:t>
      </w:r>
      <w:r w:rsidRPr="00B83B93">
        <w:rPr>
          <w:rFonts w:ascii="新細明體" w:eastAsia="新細明體" w:hAnsi="新細明體" w:cs="新細明體" w:hint="eastAsia"/>
        </w:rPr>
        <w:t>日屆滿。倘本公司未能補救導致其暫停買賣的事項、履行復牌指引及全面遵守上市規則以令聯交所信納，並於</w:t>
      </w:r>
      <w:r w:rsidRPr="00B83B93">
        <w:rPr>
          <w:rFonts w:ascii="新細明體" w:eastAsia="新細明體" w:hAnsi="新細明體" w:cs="新細明體"/>
        </w:rPr>
        <w:t>2025</w:t>
      </w:r>
      <w:r w:rsidRPr="00B83B93">
        <w:rPr>
          <w:rFonts w:ascii="新細明體" w:eastAsia="新細明體" w:hAnsi="新細明體" w:cs="新細明體" w:hint="eastAsia"/>
        </w:rPr>
        <w:t>年</w:t>
      </w:r>
      <w:r w:rsidRPr="00B83B93">
        <w:rPr>
          <w:rFonts w:ascii="新細明體" w:eastAsia="新細明體" w:hAnsi="新細明體" w:cs="新細明體"/>
        </w:rPr>
        <w:t>10</w:t>
      </w:r>
      <w:r w:rsidRPr="00B83B93">
        <w:rPr>
          <w:rFonts w:ascii="新細明體" w:eastAsia="新細明體" w:hAnsi="新細明體" w:cs="新細明體" w:hint="eastAsia"/>
        </w:rPr>
        <w:t>月</w:t>
      </w:r>
      <w:r w:rsidRPr="00B83B93">
        <w:rPr>
          <w:rFonts w:ascii="新細明體" w:eastAsia="新細明體" w:hAnsi="新細明體" w:cs="新細明體"/>
        </w:rPr>
        <w:t>1</w:t>
      </w:r>
      <w:r w:rsidRPr="00B83B93">
        <w:rPr>
          <w:rFonts w:ascii="新細明體" w:eastAsia="新細明體" w:hAnsi="新細明體" w:cs="新細明體" w:hint="eastAsia"/>
        </w:rPr>
        <w:t>日前恢復本公司之股份買賣，則上市科將建議上市委員會開展取消本公司上市地位的程序。根據上市規則第</w:t>
      </w:r>
      <w:r w:rsidRPr="00B83B93">
        <w:rPr>
          <w:rFonts w:ascii="新細明體" w:eastAsia="新細明體" w:hAnsi="新細明體" w:cs="新細明體"/>
        </w:rPr>
        <w:t>6.01</w:t>
      </w:r>
      <w:r w:rsidRPr="00B83B93">
        <w:rPr>
          <w:rFonts w:ascii="新細明體" w:eastAsia="新細明體" w:hAnsi="新細明體" w:cs="新細明體" w:hint="eastAsia"/>
        </w:rPr>
        <w:t>及</w:t>
      </w:r>
      <w:r w:rsidRPr="00B83B93">
        <w:rPr>
          <w:rFonts w:ascii="新細明體" w:eastAsia="新細明體" w:hAnsi="新細明體" w:cs="新細明體"/>
        </w:rPr>
        <w:t>6.10</w:t>
      </w:r>
      <w:r w:rsidRPr="00B83B93">
        <w:rPr>
          <w:rFonts w:ascii="新細明體" w:eastAsia="新細明體" w:hAnsi="新細明體" w:cs="新細明體" w:hint="eastAsia"/>
        </w:rPr>
        <w:t>條，聯交所亦有權於適當時候縮短特定補救期。</w:t>
      </w:r>
    </w:p>
    <w:p w14:paraId="6EBFCCDD" w14:textId="77777777" w:rsidR="00B83B93" w:rsidRDefault="00B83B93" w:rsidP="00D82AE8">
      <w:pPr>
        <w:widowControl w:val="0"/>
        <w:kinsoku/>
        <w:autoSpaceDE/>
        <w:autoSpaceDN/>
        <w:adjustRightInd/>
        <w:snapToGrid/>
        <w:textAlignment w:val="auto"/>
        <w:rPr>
          <w:rFonts w:ascii="新細明體" w:eastAsia="新細明體" w:hAnsi="新細明體" w:cs="新細明體"/>
        </w:rPr>
      </w:pPr>
    </w:p>
    <w:p w14:paraId="6458AAD0" w14:textId="2B2CBF9E" w:rsidR="00235CA2" w:rsidRPr="005802F8" w:rsidRDefault="00B83B93" w:rsidP="005802F8">
      <w:pPr>
        <w:widowControl w:val="0"/>
        <w:kinsoku/>
        <w:autoSpaceDE/>
        <w:autoSpaceDN/>
        <w:adjustRightInd/>
        <w:snapToGrid/>
        <w:jc w:val="both"/>
        <w:textAlignment w:val="auto"/>
        <w:rPr>
          <w:rFonts w:asciiTheme="minorEastAsia" w:eastAsiaTheme="minorEastAsia" w:hAnsiTheme="minorEastAsia" w:cs="Times New Roman"/>
          <w:snapToGrid/>
          <w:color w:val="auto"/>
          <w:kern w:val="2"/>
          <w:sz w:val="24"/>
          <w:szCs w:val="22"/>
          <w14:ligatures w14:val="standardContextual"/>
        </w:rPr>
      </w:pPr>
      <w:r w:rsidRPr="005802F8">
        <w:rPr>
          <w:rFonts w:asciiTheme="minorEastAsia" w:eastAsiaTheme="minorEastAsia" w:hAnsiTheme="minorEastAsia" w:cs="Times New Roman" w:hint="eastAsia"/>
          <w:snapToGrid/>
          <w:color w:val="auto"/>
          <w:kern w:val="2"/>
          <w:sz w:val="24"/>
          <w:szCs w:val="22"/>
          <w14:ligatures w14:val="standardContextual"/>
        </w:rPr>
        <w:lastRenderedPageBreak/>
        <w:t>本公司正採取適當措施以符合復牌指引及相關上市規則，並將適時刊發進一步公告，讓公眾知悉最新進展。</w:t>
      </w:r>
    </w:p>
    <w:p w14:paraId="6FDC033F" w14:textId="77777777" w:rsidR="00235CA2" w:rsidRPr="00235CA2" w:rsidRDefault="00235CA2" w:rsidP="00D82AE8">
      <w:pPr>
        <w:widowControl w:val="0"/>
        <w:kinsoku/>
        <w:autoSpaceDE/>
        <w:autoSpaceDN/>
        <w:adjustRightInd/>
        <w:snapToGrid/>
        <w:textAlignment w:val="auto"/>
        <w:rPr>
          <w:rFonts w:ascii="新細明體" w:eastAsia="新細明體" w:hAnsi="新細明體" w:cs="新細明體"/>
        </w:rPr>
      </w:pPr>
    </w:p>
    <w:p w14:paraId="298857E7" w14:textId="34F890DD" w:rsidR="00D82AE8" w:rsidRPr="00D82AE8" w:rsidRDefault="00FB4DB7" w:rsidP="00D82AE8">
      <w:pPr>
        <w:widowControl w:val="0"/>
        <w:kinsoku/>
        <w:autoSpaceDE/>
        <w:autoSpaceDN/>
        <w:adjustRightInd/>
        <w:snapToGrid/>
        <w:textAlignment w:val="auto"/>
        <w:rPr>
          <w:rFonts w:asciiTheme="minorEastAsia" w:eastAsiaTheme="minorEastAsia" w:hAnsiTheme="minorEastAsia" w:cs="Times New Roman"/>
          <w:b/>
          <w:bCs/>
          <w:snapToGrid/>
          <w:color w:val="auto"/>
          <w:kern w:val="2"/>
          <w:sz w:val="24"/>
          <w:szCs w:val="22"/>
          <w14:ligatures w14:val="standardContextual"/>
        </w:rPr>
      </w:pPr>
      <w:r w:rsidRPr="00B83B93">
        <w:rPr>
          <w:rFonts w:asciiTheme="minorEastAsia" w:eastAsiaTheme="minorEastAsia" w:hAnsiTheme="minorEastAsia" w:cs="Times New Roman"/>
          <w:b/>
          <w:bCs/>
          <w:snapToGrid/>
          <w:color w:val="auto"/>
          <w:spacing w:val="-6"/>
          <w:kern w:val="2"/>
          <w:sz w:val="24"/>
          <w:szCs w:val="24"/>
          <w14:ligatures w14:val="standardContextual"/>
        </w:rPr>
        <w:t>復牌進展之季度更新資料</w:t>
      </w:r>
    </w:p>
    <w:p w14:paraId="54924E1F" w14:textId="5AC4A34A" w:rsidR="002E7AE4" w:rsidRPr="002E7AE4" w:rsidRDefault="002E7AE4" w:rsidP="002E7AE4">
      <w:pPr>
        <w:widowControl w:val="0"/>
        <w:kinsoku/>
        <w:autoSpaceDE/>
        <w:autoSpaceDN/>
        <w:adjustRightInd/>
        <w:snapToGrid/>
        <w:textAlignment w:val="auto"/>
        <w:rPr>
          <w:rFonts w:asciiTheme="minorEastAsia" w:eastAsiaTheme="minorEastAsia" w:hAnsiTheme="minorEastAsia" w:cs="Times New Roman"/>
          <w:b/>
          <w:bCs/>
          <w:snapToGrid/>
          <w:color w:val="auto"/>
          <w:kern w:val="2"/>
          <w:sz w:val="24"/>
          <w:szCs w:val="22"/>
          <w14:ligatures w14:val="standardContextual"/>
        </w:rPr>
      </w:pPr>
      <w:r w:rsidRPr="00B83B93">
        <w:rPr>
          <w:rFonts w:asciiTheme="minorEastAsia" w:eastAsiaTheme="minorEastAsia" w:hAnsiTheme="minorEastAsia" w:cs="Times New Roman" w:hint="eastAsia"/>
          <w:b/>
          <w:bCs/>
          <w:snapToGrid/>
          <w:color w:val="auto"/>
          <w:kern w:val="2"/>
          <w:sz w:val="24"/>
          <w:szCs w:val="22"/>
          <w14:ligatures w14:val="standardContextual"/>
        </w:rPr>
        <w:t>國際新城</w:t>
      </w:r>
      <w:r w:rsidRPr="002E7AE4">
        <w:rPr>
          <w:rFonts w:asciiTheme="minorEastAsia" w:eastAsiaTheme="minorEastAsia" w:hAnsiTheme="minorEastAsia" w:cs="Times New Roman" w:hint="eastAsia"/>
          <w:b/>
          <w:bCs/>
          <w:snapToGrid/>
          <w:color w:val="auto"/>
          <w:kern w:val="2"/>
          <w:sz w:val="24"/>
          <w:szCs w:val="22"/>
          <w14:ligatures w14:val="standardContextual"/>
        </w:rPr>
        <w:t>破產重整</w:t>
      </w:r>
      <w:r w:rsidRPr="002E7AE4">
        <w:rPr>
          <w:rFonts w:asciiTheme="minorEastAsia" w:eastAsiaTheme="minorEastAsia" w:hAnsiTheme="minorEastAsia" w:cs="Times New Roman"/>
          <w:b/>
          <w:bCs/>
          <w:snapToGrid/>
          <w:color w:val="auto"/>
          <w:kern w:val="2"/>
          <w:sz w:val="24"/>
          <w:szCs w:val="22"/>
          <w14:ligatures w14:val="standardContextual"/>
        </w:rPr>
        <w:t>的最新情況</w:t>
      </w:r>
    </w:p>
    <w:p w14:paraId="3322FC1E" w14:textId="5CC77C84" w:rsidR="00D82AE8" w:rsidRPr="005802F8" w:rsidRDefault="00D82AE8" w:rsidP="005802F8">
      <w:pPr>
        <w:widowControl w:val="0"/>
        <w:kinsoku/>
        <w:autoSpaceDE/>
        <w:autoSpaceDN/>
        <w:adjustRightInd/>
        <w:snapToGrid/>
        <w:jc w:val="both"/>
        <w:textAlignment w:val="auto"/>
        <w:rPr>
          <w:rFonts w:asciiTheme="minorEastAsia" w:eastAsiaTheme="minorEastAsia" w:hAnsiTheme="minorEastAsia" w:cs="Times New Roman"/>
          <w:snapToGrid/>
          <w:color w:val="auto"/>
          <w:kern w:val="2"/>
          <w:sz w:val="24"/>
          <w:szCs w:val="22"/>
          <w14:ligatures w14:val="standardContextual"/>
        </w:rPr>
      </w:pPr>
      <w:r w:rsidRPr="00D82AE8">
        <w:rPr>
          <w:rFonts w:asciiTheme="minorEastAsia" w:eastAsiaTheme="minorEastAsia" w:hAnsiTheme="minorEastAsia" w:cs="Times New Roman" w:hint="eastAsia"/>
          <w:snapToGrid/>
          <w:color w:val="auto"/>
          <w:kern w:val="2"/>
          <w:sz w:val="24"/>
          <w:szCs w:val="22"/>
          <w14:ligatures w14:val="standardContextual"/>
        </w:rPr>
        <w:t>截至本公告日期，先機會計師行有限公司正根據其審核計劃收集必要之文件及資料，以便推進審計程序。</w:t>
      </w:r>
    </w:p>
    <w:p w14:paraId="20B7C0B0" w14:textId="77777777" w:rsidR="002A1DFC" w:rsidRPr="005802F8" w:rsidRDefault="002A1DFC" w:rsidP="005802F8">
      <w:pPr>
        <w:widowControl w:val="0"/>
        <w:kinsoku/>
        <w:autoSpaceDE/>
        <w:autoSpaceDN/>
        <w:adjustRightInd/>
        <w:snapToGrid/>
        <w:jc w:val="both"/>
        <w:textAlignment w:val="auto"/>
        <w:rPr>
          <w:rFonts w:asciiTheme="minorEastAsia" w:eastAsiaTheme="minorEastAsia" w:hAnsiTheme="minorEastAsia" w:cs="Times New Roman"/>
          <w:snapToGrid/>
          <w:color w:val="auto"/>
          <w:kern w:val="2"/>
          <w:sz w:val="24"/>
          <w:szCs w:val="22"/>
          <w14:ligatures w14:val="standardContextual"/>
        </w:rPr>
      </w:pPr>
    </w:p>
    <w:p w14:paraId="7EFE2A98" w14:textId="202BD3EA" w:rsidR="00B83B93" w:rsidRPr="00B83B93" w:rsidRDefault="00B83B93" w:rsidP="005802F8">
      <w:pPr>
        <w:widowControl w:val="0"/>
        <w:kinsoku/>
        <w:autoSpaceDE/>
        <w:autoSpaceDN/>
        <w:adjustRightInd/>
        <w:snapToGrid/>
        <w:jc w:val="both"/>
        <w:textAlignment w:val="auto"/>
        <w:rPr>
          <w:rFonts w:asciiTheme="minorEastAsia" w:eastAsiaTheme="minorEastAsia" w:hAnsiTheme="minorEastAsia" w:cs="Times New Roman" w:hint="eastAsia"/>
          <w:snapToGrid/>
          <w:color w:val="auto"/>
          <w:kern w:val="2"/>
          <w:sz w:val="24"/>
          <w:szCs w:val="22"/>
          <w14:ligatures w14:val="standardContextual"/>
        </w:rPr>
      </w:pPr>
      <w:r w:rsidRPr="00B83B93">
        <w:rPr>
          <w:rFonts w:asciiTheme="minorEastAsia" w:eastAsiaTheme="minorEastAsia" w:hAnsiTheme="minorEastAsia" w:cs="Times New Roman" w:hint="eastAsia"/>
          <w:snapToGrid/>
          <w:color w:val="auto"/>
          <w:kern w:val="2"/>
          <w:sz w:val="24"/>
          <w:szCs w:val="22"/>
          <w14:ligatures w14:val="standardContextual"/>
        </w:rPr>
        <w:t>2024年1月至2024年6月期間，本公司連同子公司及聯營公司正在辦理湖南九華國際新城開發與興建有限公司破產重整事宜</w:t>
      </w:r>
      <w:r w:rsidRPr="005802F8">
        <w:rPr>
          <w:rFonts w:asciiTheme="minorEastAsia" w:eastAsiaTheme="minorEastAsia" w:hAnsiTheme="minorEastAsia" w:cs="Times New Roman" w:hint="eastAsia"/>
          <w:snapToGrid/>
          <w:color w:val="auto"/>
          <w:kern w:val="2"/>
          <w:sz w:val="24"/>
          <w:szCs w:val="22"/>
          <w14:ligatures w14:val="standardContextual"/>
        </w:rPr>
        <w:t>(</w:t>
      </w:r>
      <w:r w:rsidRPr="005802F8">
        <w:rPr>
          <w:rFonts w:asciiTheme="minorEastAsia" w:eastAsiaTheme="minorEastAsia" w:hAnsiTheme="minorEastAsia" w:cs="Times New Roman"/>
          <w:snapToGrid/>
          <w:color w:val="auto"/>
          <w:kern w:val="2"/>
          <w:sz w:val="24"/>
          <w:szCs w:val="22"/>
          <w14:ligatures w14:val="standardContextual"/>
        </w:rPr>
        <w:t>“</w:t>
      </w:r>
      <w:r w:rsidRPr="00B83B93">
        <w:rPr>
          <w:rFonts w:asciiTheme="minorEastAsia" w:eastAsiaTheme="minorEastAsia" w:hAnsiTheme="minorEastAsia" w:cs="Times New Roman" w:hint="eastAsia"/>
          <w:snapToGrid/>
          <w:color w:val="auto"/>
          <w:kern w:val="2"/>
          <w:sz w:val="24"/>
          <w:szCs w:val="22"/>
          <w14:ligatures w14:val="standardContextual"/>
        </w:rPr>
        <w:t>湖南九華國際新城”）。湖南九華國際新城為本公司之間接全資附屬公司。分別於2024年2月、2024年4月、2024年6月召開第二次、第三次、第四次破產會議，</w:t>
      </w:r>
      <w:r w:rsidR="005802F8" w:rsidRPr="005802F8">
        <w:rPr>
          <w:rFonts w:asciiTheme="minorEastAsia" w:eastAsiaTheme="minorEastAsia" w:hAnsiTheme="minorEastAsia" w:cs="Times New Roman" w:hint="eastAsia"/>
          <w:snapToGrid/>
          <w:color w:val="auto"/>
          <w:kern w:val="2"/>
          <w:sz w:val="24"/>
          <w:szCs w:val="22"/>
          <w14:ligatures w14:val="standardContextual"/>
        </w:rPr>
        <w:t>為了準備</w:t>
      </w:r>
      <w:r w:rsidRPr="00B83B93">
        <w:rPr>
          <w:rFonts w:asciiTheme="minorEastAsia" w:eastAsiaTheme="minorEastAsia" w:hAnsiTheme="minorEastAsia" w:cs="Times New Roman" w:hint="eastAsia"/>
          <w:snapToGrid/>
          <w:color w:val="auto"/>
          <w:kern w:val="2"/>
          <w:sz w:val="24"/>
          <w:szCs w:val="22"/>
          <w14:ligatures w14:val="standardContextual"/>
        </w:rPr>
        <w:t>湖南九華國際破產程序的最終方案。</w:t>
      </w:r>
    </w:p>
    <w:p w14:paraId="77B50945" w14:textId="77777777" w:rsidR="00B83B93" w:rsidRPr="00B83B93" w:rsidRDefault="00B83B93" w:rsidP="005802F8">
      <w:pPr>
        <w:widowControl w:val="0"/>
        <w:kinsoku/>
        <w:autoSpaceDE/>
        <w:autoSpaceDN/>
        <w:adjustRightInd/>
        <w:snapToGrid/>
        <w:jc w:val="both"/>
        <w:textAlignment w:val="auto"/>
        <w:rPr>
          <w:rFonts w:asciiTheme="minorEastAsia" w:eastAsiaTheme="minorEastAsia" w:hAnsiTheme="minorEastAsia" w:cs="Times New Roman" w:hint="eastAsia"/>
          <w:snapToGrid/>
          <w:color w:val="auto"/>
          <w:kern w:val="2"/>
          <w:sz w:val="24"/>
          <w:szCs w:val="22"/>
          <w14:ligatures w14:val="standardContextual"/>
        </w:rPr>
      </w:pPr>
    </w:p>
    <w:p w14:paraId="7731863D" w14:textId="77F3A323" w:rsidR="00B83B93" w:rsidRPr="00B83B93" w:rsidRDefault="00B83B93" w:rsidP="005802F8">
      <w:pPr>
        <w:widowControl w:val="0"/>
        <w:kinsoku/>
        <w:autoSpaceDE/>
        <w:autoSpaceDN/>
        <w:adjustRightInd/>
        <w:snapToGrid/>
        <w:jc w:val="both"/>
        <w:textAlignment w:val="auto"/>
        <w:rPr>
          <w:rFonts w:asciiTheme="minorEastAsia" w:eastAsiaTheme="minorEastAsia" w:hAnsiTheme="minorEastAsia" w:cs="Times New Roman"/>
          <w:snapToGrid/>
          <w:color w:val="auto"/>
          <w:kern w:val="2"/>
          <w:sz w:val="24"/>
          <w:szCs w:val="22"/>
          <w14:ligatures w14:val="standardContextual"/>
        </w:rPr>
      </w:pPr>
      <w:r w:rsidRPr="00B83B93">
        <w:rPr>
          <w:rFonts w:asciiTheme="minorEastAsia" w:eastAsiaTheme="minorEastAsia" w:hAnsiTheme="minorEastAsia" w:cs="Times New Roman" w:hint="eastAsia"/>
          <w:snapToGrid/>
          <w:color w:val="auto"/>
          <w:kern w:val="2"/>
          <w:sz w:val="24"/>
          <w:szCs w:val="22"/>
          <w14:ligatures w14:val="standardContextual"/>
        </w:rPr>
        <w:t>詳情請參閱公司日期為2024年3月18日、2024年3月26日及2024年6月21日的公告。年。</w:t>
      </w:r>
      <w:r w:rsidR="002E7AE4" w:rsidRPr="00B83B93">
        <w:rPr>
          <w:rFonts w:asciiTheme="minorEastAsia" w:eastAsiaTheme="minorEastAsia" w:hAnsiTheme="minorEastAsia" w:cs="Times New Roman" w:hint="eastAsia"/>
          <w:snapToGrid/>
          <w:color w:val="auto"/>
          <w:kern w:val="2"/>
          <w:sz w:val="24"/>
          <w:szCs w:val="22"/>
          <w14:ligatures w14:val="standardContextual"/>
        </w:rPr>
        <w:t>本公司</w:t>
      </w:r>
      <w:r w:rsidRPr="00B83B93">
        <w:rPr>
          <w:rFonts w:asciiTheme="minorEastAsia" w:eastAsiaTheme="minorEastAsia" w:hAnsiTheme="minorEastAsia" w:cs="Times New Roman" w:hint="eastAsia"/>
          <w:snapToGrid/>
          <w:color w:val="auto"/>
          <w:kern w:val="2"/>
          <w:sz w:val="24"/>
          <w:szCs w:val="22"/>
          <w14:ligatures w14:val="standardContextual"/>
        </w:rPr>
        <w:t>透過提高營運效率，加強現金流管理，努力優化資產負債結構，確保業務穩定永續運作。</w:t>
      </w:r>
    </w:p>
    <w:p w14:paraId="6B798406" w14:textId="77777777" w:rsidR="0051713F" w:rsidRDefault="0051713F" w:rsidP="004A3241">
      <w:pPr>
        <w:rPr>
          <w:rFonts w:asciiTheme="majorEastAsia" w:eastAsia="新細明體" w:hAnsiTheme="majorEastAsia"/>
          <w:sz w:val="24"/>
          <w:szCs w:val="24"/>
        </w:rPr>
      </w:pPr>
    </w:p>
    <w:p w14:paraId="3E3C7005" w14:textId="30CE886D" w:rsidR="002E7AE4" w:rsidRPr="002E7AE4" w:rsidRDefault="002E7AE4" w:rsidP="002E7AE4">
      <w:pPr>
        <w:widowControl w:val="0"/>
        <w:jc w:val="both"/>
        <w:rPr>
          <w:rFonts w:asciiTheme="majorEastAsia" w:eastAsiaTheme="majorEastAsia" w:hAnsiTheme="majorEastAsia" w:cs="Times New Roman"/>
          <w:b/>
          <w:bCs/>
          <w:snapToGrid/>
          <w:color w:val="auto"/>
          <w:kern w:val="2"/>
          <w:sz w:val="24"/>
          <w:szCs w:val="22"/>
          <w14:ligatures w14:val="standardContextual"/>
        </w:rPr>
      </w:pPr>
      <w:r w:rsidRPr="002E7AE4">
        <w:rPr>
          <w:rFonts w:asciiTheme="majorEastAsia" w:eastAsiaTheme="majorEastAsia" w:hAnsiTheme="majorEastAsia" w:cs="Times New Roman" w:hint="eastAsia"/>
          <w:b/>
          <w:bCs/>
          <w:snapToGrid/>
          <w:color w:val="auto"/>
          <w:kern w:val="2"/>
          <w:sz w:val="24"/>
          <w:szCs w:val="22"/>
          <w14:ligatures w14:val="standardContextual"/>
        </w:rPr>
        <w:t>關於子公司</w:t>
      </w:r>
      <w:r>
        <w:rPr>
          <w:rFonts w:asciiTheme="majorEastAsia" w:eastAsia="新細明體" w:hAnsiTheme="majorEastAsia" w:cs="Times New Roman" w:hint="eastAsia"/>
          <w:b/>
          <w:bCs/>
          <w:snapToGrid/>
          <w:color w:val="auto"/>
          <w:kern w:val="2"/>
          <w:sz w:val="24"/>
          <w:szCs w:val="22"/>
          <w14:ligatures w14:val="standardContextual"/>
        </w:rPr>
        <w:t>(</w:t>
      </w:r>
      <w:r>
        <w:rPr>
          <w:rFonts w:asciiTheme="majorEastAsia" w:eastAsia="新細明體" w:hAnsiTheme="majorEastAsia" w:cs="Times New Roman"/>
          <w:b/>
          <w:bCs/>
          <w:snapToGrid/>
          <w:color w:val="auto"/>
          <w:kern w:val="2"/>
          <w:sz w:val="24"/>
          <w:szCs w:val="22"/>
          <w14:ligatures w14:val="standardContextual"/>
        </w:rPr>
        <w:t>“</w:t>
      </w:r>
      <w:r w:rsidRPr="00B83B93">
        <w:rPr>
          <w:rFonts w:asciiTheme="minorEastAsia" w:eastAsiaTheme="minorEastAsia" w:hAnsiTheme="minorEastAsia" w:cs="Times New Roman" w:hint="eastAsia"/>
          <w:b/>
          <w:bCs/>
          <w:snapToGrid/>
          <w:color w:val="auto"/>
          <w:kern w:val="2"/>
          <w:sz w:val="24"/>
          <w:szCs w:val="22"/>
          <w14:ligatures w14:val="standardContextual"/>
        </w:rPr>
        <w:t>國際新城</w:t>
      </w:r>
      <w:r>
        <w:rPr>
          <w:rFonts w:asciiTheme="majorEastAsia" w:eastAsia="新細明體" w:hAnsiTheme="majorEastAsia" w:cs="Times New Roman"/>
          <w:b/>
          <w:bCs/>
          <w:snapToGrid/>
          <w:color w:val="auto"/>
          <w:kern w:val="2"/>
          <w:sz w:val="24"/>
          <w:szCs w:val="22"/>
          <w14:ligatures w14:val="standardContextual"/>
        </w:rPr>
        <w:t>”</w:t>
      </w:r>
      <w:r>
        <w:rPr>
          <w:rFonts w:asciiTheme="majorEastAsia" w:eastAsia="新細明體" w:hAnsiTheme="majorEastAsia" w:cs="Times New Roman" w:hint="eastAsia"/>
          <w:b/>
          <w:bCs/>
          <w:snapToGrid/>
          <w:color w:val="auto"/>
          <w:kern w:val="2"/>
          <w:sz w:val="24"/>
          <w:szCs w:val="22"/>
          <w14:ligatures w14:val="standardContextual"/>
        </w:rPr>
        <w:t>)</w:t>
      </w:r>
      <w:r w:rsidRPr="002E7AE4">
        <w:rPr>
          <w:rFonts w:asciiTheme="majorEastAsia" w:eastAsiaTheme="majorEastAsia" w:hAnsiTheme="majorEastAsia" w:cs="Times New Roman" w:hint="eastAsia"/>
          <w:b/>
          <w:bCs/>
          <w:snapToGrid/>
          <w:color w:val="auto"/>
          <w:kern w:val="2"/>
          <w:sz w:val="24"/>
          <w:szCs w:val="22"/>
          <w14:ligatures w14:val="standardContextual"/>
        </w:rPr>
        <w:t>控制</w:t>
      </w:r>
      <w:r w:rsidRPr="002E7AE4">
        <w:rPr>
          <w:rFonts w:asciiTheme="majorEastAsia" w:eastAsiaTheme="majorEastAsia" w:hAnsiTheme="majorEastAsia" w:cs="Times New Roman" w:hint="eastAsia"/>
          <w:b/>
          <w:bCs/>
          <w:kern w:val="2"/>
          <w:sz w:val="24"/>
          <w:szCs w:val="22"/>
          <w14:ligatures w14:val="standardContextual"/>
        </w:rPr>
        <w:t>權</w:t>
      </w:r>
      <w:r w:rsidRPr="002E7AE4">
        <w:rPr>
          <w:rFonts w:asciiTheme="minorEastAsia" w:eastAsiaTheme="minorEastAsia" w:hAnsiTheme="minorEastAsia" w:cs="Times New Roman"/>
          <w:b/>
          <w:bCs/>
          <w:snapToGrid/>
          <w:color w:val="auto"/>
          <w:kern w:val="2"/>
          <w:sz w:val="24"/>
          <w:szCs w:val="22"/>
          <w14:ligatures w14:val="standardContextual"/>
        </w:rPr>
        <w:t>的最新情況</w:t>
      </w:r>
    </w:p>
    <w:p w14:paraId="2FC90BA9" w14:textId="667393F2" w:rsidR="002E7AE4" w:rsidRPr="005802F8" w:rsidRDefault="002E7AE4" w:rsidP="005802F8">
      <w:pPr>
        <w:widowControl w:val="0"/>
        <w:kinsoku/>
        <w:autoSpaceDE/>
        <w:autoSpaceDN/>
        <w:adjustRightInd/>
        <w:snapToGrid/>
        <w:jc w:val="both"/>
        <w:textAlignment w:val="auto"/>
        <w:rPr>
          <w:rFonts w:asciiTheme="minorEastAsia" w:eastAsiaTheme="minorEastAsia" w:hAnsiTheme="minorEastAsia" w:cs="Times New Roman"/>
          <w:snapToGrid/>
          <w:color w:val="auto"/>
          <w:kern w:val="2"/>
          <w:sz w:val="24"/>
          <w:szCs w:val="22"/>
          <w14:ligatures w14:val="standardContextual"/>
        </w:rPr>
      </w:pPr>
      <w:r w:rsidRPr="002E7AE4">
        <w:rPr>
          <w:rFonts w:asciiTheme="minorEastAsia" w:eastAsiaTheme="minorEastAsia" w:hAnsiTheme="minorEastAsia" w:cs="Times New Roman" w:hint="eastAsia"/>
          <w:snapToGrid/>
          <w:color w:val="auto"/>
          <w:kern w:val="2"/>
          <w:sz w:val="24"/>
          <w:szCs w:val="22"/>
          <w14:ligatures w14:val="standardContextual"/>
        </w:rPr>
        <w:t>為證明湖南九華國際為本公司主要經營子公司，向審計師提供破產重整第二次、第三次、第四次會議議程。過去幾個月，公司與審計師一直密切合作，為審計師提供一個共同的資訊平台，幫助審計師在審查公司經營情況時做出更好的理性判斷，並證明公司與子公司之間的直接控制</w:t>
      </w:r>
      <w:r w:rsidRPr="005802F8">
        <w:rPr>
          <w:rFonts w:asciiTheme="minorEastAsia" w:eastAsiaTheme="minorEastAsia" w:hAnsiTheme="minorEastAsia" w:cs="Times New Roman" w:hint="eastAsia"/>
          <w:snapToGrid/>
          <w:color w:val="auto"/>
          <w:kern w:val="2"/>
          <w:sz w:val="24"/>
          <w:szCs w:val="22"/>
          <w14:ligatures w14:val="standardContextual"/>
        </w:rPr>
        <w:t>權</w:t>
      </w:r>
      <w:r w:rsidRPr="002E7AE4">
        <w:rPr>
          <w:rFonts w:asciiTheme="minorEastAsia" w:eastAsiaTheme="minorEastAsia" w:hAnsiTheme="minorEastAsia" w:cs="Times New Roman" w:hint="eastAsia"/>
          <w:snapToGrid/>
          <w:color w:val="auto"/>
          <w:kern w:val="2"/>
          <w:sz w:val="24"/>
          <w:szCs w:val="22"/>
          <w14:ligatures w14:val="standardContextual"/>
        </w:rPr>
        <w:t>。</w:t>
      </w:r>
    </w:p>
    <w:p w14:paraId="6BA43CBB" w14:textId="77777777" w:rsidR="005802F8" w:rsidRPr="002E7AE4" w:rsidRDefault="005802F8" w:rsidP="002E7AE4">
      <w:pPr>
        <w:jc w:val="both"/>
        <w:rPr>
          <w:rFonts w:asciiTheme="majorEastAsia" w:eastAsia="新細明體" w:hAnsiTheme="majorEastAsia" w:hint="eastAsia"/>
          <w:sz w:val="24"/>
          <w:szCs w:val="24"/>
        </w:rPr>
      </w:pPr>
    </w:p>
    <w:p w14:paraId="7EA20B9A" w14:textId="77777777" w:rsidR="005802F8" w:rsidRPr="005802F8" w:rsidRDefault="005802F8" w:rsidP="005802F8">
      <w:pPr>
        <w:jc w:val="both"/>
        <w:rPr>
          <w:rFonts w:asciiTheme="majorEastAsia" w:eastAsia="新細明體" w:hAnsiTheme="majorEastAsia"/>
          <w:b/>
          <w:bCs/>
          <w:sz w:val="24"/>
          <w:szCs w:val="24"/>
        </w:rPr>
      </w:pPr>
      <w:r w:rsidRPr="005802F8">
        <w:rPr>
          <w:rFonts w:asciiTheme="majorEastAsia" w:eastAsia="新細明體" w:hAnsiTheme="majorEastAsia" w:hint="eastAsia"/>
          <w:b/>
          <w:bCs/>
          <w:sz w:val="24"/>
          <w:szCs w:val="24"/>
        </w:rPr>
        <w:t>關於公司與審計師關於審計費用償還期限爭議的最新情況</w:t>
      </w:r>
    </w:p>
    <w:p w14:paraId="38197FDE" w14:textId="77777777" w:rsidR="005802F8" w:rsidRDefault="005802F8" w:rsidP="005802F8">
      <w:pPr>
        <w:jc w:val="both"/>
        <w:rPr>
          <w:rFonts w:asciiTheme="majorEastAsia" w:eastAsia="新細明體" w:hAnsiTheme="majorEastAsia"/>
          <w:sz w:val="24"/>
          <w:szCs w:val="24"/>
        </w:rPr>
      </w:pPr>
      <w:r w:rsidRPr="005802F8">
        <w:rPr>
          <w:rFonts w:asciiTheme="majorEastAsia" w:eastAsia="新細明體" w:hAnsiTheme="majorEastAsia" w:hint="eastAsia"/>
          <w:sz w:val="24"/>
          <w:szCs w:val="24"/>
        </w:rPr>
        <w:t>公司始終致力於運作專業、有效率、透明和公平的流程，並與審計師保持持續溝通。然而，審計師堅持立即支付所有未付的審計費用。這可能遠遠超出公司的支付能力。截至公告日，該事項尚未解決。由於爭議的估值費用仍然存在且仍未支付，估值過程暫時停止。</w:t>
      </w:r>
    </w:p>
    <w:p w14:paraId="4293F080" w14:textId="77777777" w:rsidR="005802F8" w:rsidRPr="005802F8" w:rsidRDefault="005802F8" w:rsidP="005802F8">
      <w:pPr>
        <w:jc w:val="both"/>
        <w:rPr>
          <w:rFonts w:asciiTheme="majorEastAsia" w:eastAsia="新細明體" w:hAnsiTheme="majorEastAsia" w:hint="eastAsia"/>
          <w:sz w:val="24"/>
          <w:szCs w:val="24"/>
        </w:rPr>
      </w:pPr>
    </w:p>
    <w:p w14:paraId="07ADE97A" w14:textId="77777777" w:rsidR="005802F8" w:rsidRPr="005802F8" w:rsidRDefault="005802F8" w:rsidP="005802F8">
      <w:pPr>
        <w:jc w:val="both"/>
        <w:rPr>
          <w:rFonts w:asciiTheme="majorEastAsia" w:eastAsia="新細明體" w:hAnsiTheme="majorEastAsia"/>
          <w:b/>
          <w:bCs/>
          <w:sz w:val="24"/>
          <w:szCs w:val="24"/>
        </w:rPr>
      </w:pPr>
      <w:r w:rsidRPr="005802F8">
        <w:rPr>
          <w:rFonts w:asciiTheme="majorEastAsia" w:eastAsia="新細明體" w:hAnsiTheme="majorEastAsia" w:hint="eastAsia"/>
          <w:b/>
          <w:bCs/>
          <w:sz w:val="24"/>
          <w:szCs w:val="24"/>
        </w:rPr>
        <w:t>2023</w:t>
      </w:r>
      <w:r w:rsidRPr="005802F8">
        <w:rPr>
          <w:rFonts w:asciiTheme="majorEastAsia" w:eastAsia="新細明體" w:hAnsiTheme="majorEastAsia" w:hint="eastAsia"/>
          <w:b/>
          <w:bCs/>
          <w:sz w:val="24"/>
          <w:szCs w:val="24"/>
        </w:rPr>
        <w:t>年度業績及年度報告</w:t>
      </w:r>
    </w:p>
    <w:p w14:paraId="09A0178C" w14:textId="44F39969" w:rsidR="005802F8" w:rsidRPr="005802F8" w:rsidRDefault="005802F8" w:rsidP="005802F8">
      <w:pPr>
        <w:widowControl w:val="0"/>
        <w:kinsoku/>
        <w:autoSpaceDE/>
        <w:autoSpaceDN/>
        <w:adjustRightInd/>
        <w:snapToGrid/>
        <w:jc w:val="both"/>
        <w:textAlignment w:val="auto"/>
        <w:rPr>
          <w:rFonts w:asciiTheme="minorEastAsia" w:eastAsiaTheme="minorEastAsia" w:hAnsiTheme="minorEastAsia" w:cs="Times New Roman" w:hint="eastAsia"/>
          <w:snapToGrid/>
          <w:color w:val="auto"/>
          <w:kern w:val="2"/>
          <w:sz w:val="24"/>
          <w:szCs w:val="22"/>
          <w14:ligatures w14:val="standardContextual"/>
        </w:rPr>
      </w:pPr>
      <w:r w:rsidRPr="005802F8">
        <w:rPr>
          <w:rFonts w:asciiTheme="minorEastAsia" w:eastAsiaTheme="minorEastAsia" w:hAnsiTheme="minorEastAsia" w:cs="Times New Roman"/>
          <w:snapToGrid/>
          <w:color w:val="auto"/>
          <w:kern w:val="2"/>
          <w:sz w:val="24"/>
          <w:szCs w:val="22"/>
          <w14:ligatures w14:val="standardContextual"/>
        </w:rPr>
        <w:t>於本公告日期，截至2023年12月31日止年度的合併財務報表仍在編製中，本集團亦 在與審計機構保持持續溝通、有序配合審計工作，以於切實可行情況下儘快落實及 刊發2023年度業績及寄發2023年年度報告。本公司將根據上市規則就2023年經審核 年度賬目的刊發日期適時刊發進一步公告。</w:t>
      </w:r>
    </w:p>
    <w:p w14:paraId="5DB40271" w14:textId="77777777" w:rsidR="005802F8" w:rsidRPr="005802F8" w:rsidRDefault="005802F8" w:rsidP="005802F8">
      <w:pPr>
        <w:jc w:val="both"/>
        <w:rPr>
          <w:rFonts w:asciiTheme="majorEastAsia" w:eastAsia="新細明體" w:hAnsiTheme="majorEastAsia" w:hint="eastAsia"/>
          <w:sz w:val="24"/>
          <w:szCs w:val="24"/>
        </w:rPr>
      </w:pPr>
    </w:p>
    <w:p w14:paraId="49B0EEA3" w14:textId="77777777" w:rsidR="00D82AE8" w:rsidRPr="00D82AE8" w:rsidRDefault="00D82AE8" w:rsidP="00D82AE8">
      <w:pPr>
        <w:widowControl w:val="0"/>
        <w:kinsoku/>
        <w:autoSpaceDE/>
        <w:autoSpaceDN/>
        <w:adjustRightInd/>
        <w:snapToGrid/>
        <w:jc w:val="both"/>
        <w:textAlignment w:val="auto"/>
        <w:rPr>
          <w:rFonts w:asciiTheme="majorEastAsia" w:eastAsiaTheme="majorEastAsia" w:hAnsiTheme="majorEastAsia" w:cs="Times New Roman"/>
          <w:b/>
          <w:bCs/>
          <w:snapToGrid/>
          <w:color w:val="auto"/>
          <w:kern w:val="2"/>
          <w:sz w:val="24"/>
          <w:szCs w:val="22"/>
          <w14:ligatures w14:val="standardContextual"/>
        </w:rPr>
      </w:pPr>
      <w:r w:rsidRPr="00D82AE8">
        <w:rPr>
          <w:rFonts w:asciiTheme="majorEastAsia" w:eastAsiaTheme="majorEastAsia" w:hAnsiTheme="majorEastAsia" w:cs="Times New Roman" w:hint="eastAsia"/>
          <w:b/>
          <w:bCs/>
          <w:snapToGrid/>
          <w:color w:val="auto"/>
          <w:kern w:val="2"/>
          <w:sz w:val="24"/>
          <w:szCs w:val="22"/>
          <w14:ligatures w14:val="standardContextual"/>
        </w:rPr>
        <w:t>繼續暫停買賣</w:t>
      </w:r>
    </w:p>
    <w:p w14:paraId="5B8EAD1D" w14:textId="29A13B77" w:rsidR="00D82AE8" w:rsidRPr="00D82AE8" w:rsidRDefault="00B210E0" w:rsidP="00D82AE8">
      <w:pPr>
        <w:jc w:val="both"/>
        <w:rPr>
          <w:rFonts w:asciiTheme="majorEastAsia" w:eastAsia="新細明體" w:hAnsiTheme="majorEastAsia"/>
          <w:sz w:val="24"/>
          <w:szCs w:val="24"/>
        </w:rPr>
      </w:pPr>
      <w:r w:rsidRPr="00B210E0">
        <w:rPr>
          <w:rFonts w:asciiTheme="majorEastAsia" w:eastAsia="新細明體" w:hAnsiTheme="majorEastAsia" w:hint="eastAsia"/>
          <w:sz w:val="24"/>
          <w:szCs w:val="24"/>
        </w:rPr>
        <w:t>本公司股份已自二零二四年四月二日（星期二）上午九時正起在聯交所暫停買賣，並將繼續暫停買賣直至刊發本公司全年業績公佈及寄發本公司之年報為止。</w:t>
      </w:r>
    </w:p>
    <w:p w14:paraId="10FF04AC" w14:textId="77777777" w:rsidR="00D77FBD" w:rsidRPr="00D77FBD" w:rsidRDefault="00D77FBD" w:rsidP="00D77FBD">
      <w:pPr>
        <w:widowControl w:val="0"/>
        <w:kinsoku/>
        <w:autoSpaceDE/>
        <w:autoSpaceDN/>
        <w:adjustRightInd/>
        <w:snapToGrid/>
        <w:jc w:val="both"/>
        <w:textAlignment w:val="auto"/>
        <w:rPr>
          <w:rFonts w:ascii="SimSun" w:eastAsia="新細明體" w:hAnsi="SimSun" w:cs="新細明體"/>
          <w:snapToGrid/>
          <w:color w:val="auto"/>
          <w:kern w:val="2"/>
          <w:sz w:val="24"/>
          <w:szCs w:val="22"/>
          <w14:ligatures w14:val="standardContextual"/>
        </w:rPr>
      </w:pPr>
    </w:p>
    <w:p w14:paraId="22630664" w14:textId="77777777" w:rsidR="00D77FBD" w:rsidRPr="00D77FBD" w:rsidRDefault="00D77FBD" w:rsidP="00D77FBD">
      <w:pPr>
        <w:widowControl w:val="0"/>
        <w:kinsoku/>
        <w:autoSpaceDE/>
        <w:autoSpaceDN/>
        <w:adjustRightInd/>
        <w:snapToGrid/>
        <w:jc w:val="both"/>
        <w:textAlignment w:val="auto"/>
        <w:rPr>
          <w:rFonts w:ascii="SimSun" w:eastAsia="SimSun" w:hAnsi="SimSun" w:cs="Times New Roman"/>
          <w:b/>
          <w:bCs/>
          <w:snapToGrid/>
          <w:color w:val="auto"/>
          <w:kern w:val="2"/>
          <w:sz w:val="24"/>
          <w:szCs w:val="22"/>
          <w14:ligatures w14:val="standardContextual"/>
        </w:rPr>
      </w:pPr>
      <w:r w:rsidRPr="00D77FBD">
        <w:rPr>
          <w:rFonts w:ascii="SimSun" w:eastAsia="SimSun" w:hAnsi="SimSun" w:cs="Times New Roman"/>
          <w:b/>
          <w:bCs/>
          <w:snapToGrid/>
          <w:color w:val="auto"/>
          <w:kern w:val="2"/>
          <w:sz w:val="24"/>
          <w:szCs w:val="22"/>
          <w14:ligatures w14:val="standardContextual"/>
        </w:rPr>
        <w:t>股東及潛在投資者於買賣本公司證券時務請審慎行事</w:t>
      </w:r>
      <w:r w:rsidRPr="00D77FBD">
        <w:rPr>
          <w:rFonts w:ascii="SimSun" w:eastAsia="SimSun" w:hAnsi="SimSun" w:cs="新細明體" w:hint="eastAsia"/>
          <w:b/>
          <w:bCs/>
          <w:snapToGrid/>
          <w:color w:val="auto"/>
          <w:kern w:val="2"/>
          <w:sz w:val="24"/>
          <w:szCs w:val="22"/>
          <w14:ligatures w14:val="standardContextual"/>
        </w:rPr>
        <w:t>。</w:t>
      </w:r>
    </w:p>
    <w:p w14:paraId="6575E330" w14:textId="250E0793" w:rsidR="003178A2" w:rsidRPr="002F6B27" w:rsidRDefault="005A1997" w:rsidP="003178A2">
      <w:pPr>
        <w:spacing w:before="244" w:line="213" w:lineRule="auto"/>
        <w:ind w:right="38"/>
        <w:jc w:val="both"/>
        <w:rPr>
          <w:rFonts w:asciiTheme="majorEastAsia" w:eastAsiaTheme="majorEastAsia" w:hAnsiTheme="majorEastAsia" w:cs="Times New Roman"/>
          <w:i/>
          <w:iCs/>
          <w:spacing w:val="21"/>
          <w:sz w:val="24"/>
          <w:szCs w:val="24"/>
        </w:rPr>
      </w:pPr>
      <w:r w:rsidRPr="007E09AC">
        <w:rPr>
          <w:rFonts w:asciiTheme="majorEastAsia" w:eastAsiaTheme="majorEastAsia" w:hAnsiTheme="majorEastAsia" w:cs="Times New Roman"/>
          <w:i/>
          <w:iCs/>
          <w:spacing w:val="21"/>
          <w:sz w:val="24"/>
          <w:szCs w:val="24"/>
        </w:rPr>
        <w:t xml:space="preserve">* </w:t>
      </w:r>
      <w:r w:rsidRPr="007E09AC">
        <w:rPr>
          <w:rFonts w:asciiTheme="majorEastAsia" w:eastAsiaTheme="majorEastAsia" w:hAnsiTheme="majorEastAsia" w:cs="Times New Roman" w:hint="eastAsia"/>
          <w:i/>
          <w:iCs/>
          <w:spacing w:val="21"/>
          <w:sz w:val="24"/>
          <w:szCs w:val="24"/>
        </w:rPr>
        <w:t>僅供識別</w:t>
      </w:r>
    </w:p>
    <w:p w14:paraId="50A20133" w14:textId="77777777" w:rsidR="007E09AC" w:rsidRDefault="007E09AC">
      <w:pPr>
        <w:spacing w:before="244" w:line="213" w:lineRule="auto"/>
        <w:ind w:right="38"/>
        <w:jc w:val="both"/>
        <w:rPr>
          <w:rFonts w:asciiTheme="majorEastAsia" w:eastAsia="新細明體" w:hAnsiTheme="majorEastAsia" w:cs="Times New Roman"/>
          <w:spacing w:val="21"/>
          <w:sz w:val="24"/>
          <w:szCs w:val="24"/>
        </w:rPr>
      </w:pPr>
    </w:p>
    <w:p w14:paraId="460AD852" w14:textId="77777777" w:rsidR="007E09AC" w:rsidRPr="002F6B27" w:rsidRDefault="007E09AC" w:rsidP="002F6B27">
      <w:pPr>
        <w:spacing w:before="244" w:line="213" w:lineRule="auto"/>
        <w:ind w:right="38"/>
        <w:jc w:val="both"/>
        <w:rPr>
          <w:rFonts w:asciiTheme="majorEastAsia" w:eastAsiaTheme="majorEastAsia" w:hAnsiTheme="majorEastAsia" w:cs="Times New Roman"/>
          <w:sz w:val="24"/>
          <w:szCs w:val="24"/>
        </w:rPr>
      </w:pPr>
    </w:p>
    <w:p w14:paraId="4E7AF1C1" w14:textId="58274B00" w:rsidR="00B5002D" w:rsidRPr="002F6B27" w:rsidRDefault="00A30214" w:rsidP="002F6B27">
      <w:pPr>
        <w:spacing w:before="325" w:line="189" w:lineRule="auto"/>
        <w:ind w:left="6663"/>
        <w:jc w:val="center"/>
        <w:rPr>
          <w:rFonts w:asciiTheme="majorEastAsia" w:eastAsiaTheme="majorEastAsia" w:hAnsiTheme="majorEastAsia" w:cs="Times New Roman"/>
          <w:sz w:val="24"/>
          <w:szCs w:val="24"/>
        </w:rPr>
      </w:pPr>
      <w:r w:rsidRPr="002F6B27">
        <w:rPr>
          <w:rFonts w:asciiTheme="majorEastAsia" w:eastAsiaTheme="majorEastAsia" w:hAnsiTheme="majorEastAsia" w:cs="Times New Roman"/>
          <w:spacing w:val="12"/>
          <w:sz w:val="24"/>
          <w:szCs w:val="24"/>
        </w:rPr>
        <w:t>承</w:t>
      </w:r>
      <w:r w:rsidRPr="002F6B27">
        <w:rPr>
          <w:rFonts w:asciiTheme="majorEastAsia" w:eastAsiaTheme="majorEastAsia" w:hAnsiTheme="majorEastAsia" w:cs="Times New Roman"/>
          <w:spacing w:val="9"/>
          <w:sz w:val="24"/>
          <w:szCs w:val="24"/>
        </w:rPr>
        <w:t>董事局命</w:t>
      </w:r>
    </w:p>
    <w:p w14:paraId="5D9956EC" w14:textId="77777777" w:rsidR="00B5002D" w:rsidRPr="002F6B27" w:rsidRDefault="00A30214" w:rsidP="002F6B27">
      <w:pPr>
        <w:spacing w:before="1" w:line="189" w:lineRule="auto"/>
        <w:ind w:left="6663" w:right="39"/>
        <w:jc w:val="center"/>
        <w:rPr>
          <w:rFonts w:asciiTheme="majorEastAsia" w:eastAsiaTheme="majorEastAsia" w:hAnsiTheme="majorEastAsia" w:cs="Times New Roman"/>
          <w:sz w:val="24"/>
          <w:szCs w:val="24"/>
        </w:rPr>
      </w:pPr>
      <w:r w:rsidRPr="002F6B27">
        <w:rPr>
          <w:rFonts w:asciiTheme="majorEastAsia" w:eastAsiaTheme="majorEastAsia" w:hAnsiTheme="majorEastAsia" w:cs="Times New Roman"/>
          <w:b/>
          <w:bCs/>
          <w:spacing w:val="17"/>
          <w:sz w:val="24"/>
          <w:szCs w:val="24"/>
        </w:rPr>
        <w:t>金</w:t>
      </w:r>
      <w:r w:rsidRPr="002F6B27">
        <w:rPr>
          <w:rFonts w:asciiTheme="majorEastAsia" w:eastAsiaTheme="majorEastAsia" w:hAnsiTheme="majorEastAsia" w:cs="Times New Roman"/>
          <w:b/>
          <w:bCs/>
          <w:spacing w:val="11"/>
          <w:sz w:val="24"/>
          <w:szCs w:val="24"/>
        </w:rPr>
        <w:t>奧國際股份有限公司</w:t>
      </w:r>
    </w:p>
    <w:p w14:paraId="5EA88575" w14:textId="77777777" w:rsidR="00B5002D" w:rsidRPr="002F6B27" w:rsidRDefault="00A30214" w:rsidP="002F6B27">
      <w:pPr>
        <w:spacing w:before="1" w:line="183" w:lineRule="auto"/>
        <w:ind w:left="6663" w:right="131"/>
        <w:jc w:val="center"/>
        <w:rPr>
          <w:rFonts w:asciiTheme="majorEastAsia" w:eastAsiaTheme="majorEastAsia" w:hAnsiTheme="majorEastAsia" w:cs="Times New Roman"/>
          <w:sz w:val="24"/>
          <w:szCs w:val="24"/>
        </w:rPr>
      </w:pPr>
      <w:r w:rsidRPr="002F6B27">
        <w:rPr>
          <w:rFonts w:asciiTheme="majorEastAsia" w:eastAsiaTheme="majorEastAsia" w:hAnsiTheme="majorEastAsia" w:cs="Times New Roman"/>
          <w:spacing w:val="7"/>
          <w:sz w:val="24"/>
          <w:szCs w:val="24"/>
        </w:rPr>
        <w:t>執</w:t>
      </w:r>
      <w:r w:rsidRPr="002F6B27">
        <w:rPr>
          <w:rFonts w:asciiTheme="majorEastAsia" w:eastAsiaTheme="majorEastAsia" w:hAnsiTheme="majorEastAsia" w:cs="Times New Roman"/>
          <w:spacing w:val="6"/>
          <w:sz w:val="24"/>
          <w:szCs w:val="24"/>
        </w:rPr>
        <w:t>行董事兼行政總裁</w:t>
      </w:r>
    </w:p>
    <w:p w14:paraId="0214BEA9" w14:textId="586534BA" w:rsidR="00B5002D" w:rsidRPr="001C2D2A" w:rsidRDefault="00EA1DB4" w:rsidP="002F6B27">
      <w:pPr>
        <w:spacing w:before="1" w:line="191" w:lineRule="auto"/>
        <w:ind w:left="6663"/>
        <w:jc w:val="center"/>
        <w:rPr>
          <w:rFonts w:asciiTheme="majorEastAsia" w:eastAsiaTheme="majorEastAsia" w:hAnsiTheme="majorEastAsia" w:cs="Times New Roman"/>
          <w:b/>
          <w:bCs/>
          <w:sz w:val="24"/>
          <w:szCs w:val="24"/>
        </w:rPr>
      </w:pPr>
      <w:r w:rsidRPr="001C2D2A">
        <w:rPr>
          <w:rFonts w:ascii="新細明體" w:eastAsia="新細明體" w:hAnsi="新細明體" w:cs="新細明體" w:hint="eastAsia"/>
          <w:b/>
          <w:bCs/>
        </w:rPr>
        <w:t>俞超</w:t>
      </w:r>
    </w:p>
    <w:p w14:paraId="70E3151C" w14:textId="0067B696" w:rsidR="00B5002D" w:rsidRPr="001771ED" w:rsidRDefault="00A30214" w:rsidP="002F6B27">
      <w:pPr>
        <w:spacing w:before="244" w:line="213" w:lineRule="auto"/>
        <w:ind w:right="38" w:hanging="17"/>
        <w:rPr>
          <w:rFonts w:asciiTheme="majorEastAsia" w:eastAsiaTheme="majorEastAsia" w:hAnsiTheme="majorEastAsia" w:cs="Times New Roman"/>
          <w:spacing w:val="12"/>
          <w:sz w:val="24"/>
          <w:szCs w:val="24"/>
        </w:rPr>
      </w:pPr>
      <w:r w:rsidRPr="001771ED">
        <w:rPr>
          <w:rFonts w:asciiTheme="majorEastAsia" w:eastAsiaTheme="majorEastAsia" w:hAnsiTheme="majorEastAsia" w:cs="Times New Roman"/>
          <w:spacing w:val="12"/>
          <w:sz w:val="24"/>
          <w:szCs w:val="24"/>
        </w:rPr>
        <w:t>香港，二零二</w:t>
      </w:r>
      <w:r w:rsidR="007E09AC" w:rsidRPr="001771ED">
        <w:rPr>
          <w:rFonts w:asciiTheme="majorEastAsia" w:eastAsiaTheme="majorEastAsia" w:hAnsiTheme="majorEastAsia" w:cs="Times New Roman" w:hint="eastAsia"/>
          <w:spacing w:val="12"/>
          <w:sz w:val="24"/>
          <w:szCs w:val="24"/>
        </w:rPr>
        <w:t>四</w:t>
      </w:r>
      <w:r w:rsidRPr="001771ED">
        <w:rPr>
          <w:rFonts w:asciiTheme="majorEastAsia" w:eastAsiaTheme="majorEastAsia" w:hAnsiTheme="majorEastAsia" w:cs="Times New Roman"/>
          <w:spacing w:val="12"/>
          <w:sz w:val="24"/>
          <w:szCs w:val="24"/>
        </w:rPr>
        <w:t>年</w:t>
      </w:r>
      <w:r w:rsidR="00D248B8" w:rsidRPr="005A3C44">
        <w:rPr>
          <w:rFonts w:asciiTheme="minorEastAsia" w:eastAsia="新細明體" w:hAnsiTheme="minorEastAsia" w:cs="Times New Roman" w:hint="eastAsia"/>
          <w:snapToGrid/>
          <w:color w:val="auto"/>
          <w:kern w:val="2"/>
          <w:sz w:val="24"/>
          <w:szCs w:val="24"/>
          <w14:ligatures w14:val="standardContextual"/>
        </w:rPr>
        <w:t>七</w:t>
      </w:r>
      <w:r w:rsidRPr="001771ED">
        <w:rPr>
          <w:rFonts w:asciiTheme="majorEastAsia" w:eastAsiaTheme="majorEastAsia" w:hAnsiTheme="majorEastAsia" w:cs="Times New Roman"/>
          <w:spacing w:val="12"/>
          <w:sz w:val="24"/>
          <w:szCs w:val="24"/>
        </w:rPr>
        <w:t>月</w:t>
      </w:r>
      <w:r w:rsidR="00D248B8" w:rsidRPr="005A3C44">
        <w:rPr>
          <w:rFonts w:asciiTheme="majorEastAsia" w:eastAsia="新細明體" w:hAnsiTheme="majorEastAsia" w:hint="eastAsia"/>
          <w:sz w:val="24"/>
          <w:szCs w:val="24"/>
        </w:rPr>
        <w:t>四</w:t>
      </w:r>
      <w:r w:rsidRPr="001771ED">
        <w:rPr>
          <w:rFonts w:asciiTheme="majorEastAsia" w:eastAsiaTheme="majorEastAsia" w:hAnsiTheme="majorEastAsia" w:cs="Times New Roman"/>
          <w:spacing w:val="12"/>
          <w:sz w:val="24"/>
          <w:szCs w:val="24"/>
        </w:rPr>
        <w:t>日</w:t>
      </w:r>
    </w:p>
    <w:p w14:paraId="2A97FB7E" w14:textId="13CAEAAD" w:rsidR="00B5002D" w:rsidRDefault="00A30214" w:rsidP="00431132">
      <w:pPr>
        <w:tabs>
          <w:tab w:val="left" w:pos="130"/>
        </w:tabs>
        <w:spacing w:before="327" w:line="197" w:lineRule="auto"/>
        <w:jc w:val="both"/>
        <w:rPr>
          <w:rFonts w:ascii="微軟正黑體" w:eastAsia="微軟正黑體" w:hAnsi="微軟正黑體" w:cs="微軟正黑體"/>
          <w:sz w:val="26"/>
          <w:szCs w:val="26"/>
        </w:rPr>
      </w:pPr>
      <w:r w:rsidRPr="002F6B27">
        <w:rPr>
          <w:rFonts w:asciiTheme="majorEastAsia" w:eastAsiaTheme="majorEastAsia" w:hAnsiTheme="majorEastAsia" w:cs="Times New Roman"/>
          <w:i/>
          <w:iCs/>
          <w:spacing w:val="18"/>
          <w:sz w:val="24"/>
          <w:szCs w:val="24"/>
        </w:rPr>
        <w:t>於</w:t>
      </w:r>
      <w:r w:rsidRPr="002F6B27">
        <w:rPr>
          <w:rFonts w:asciiTheme="majorEastAsia" w:eastAsiaTheme="majorEastAsia" w:hAnsiTheme="majorEastAsia" w:cs="Times New Roman"/>
          <w:i/>
          <w:iCs/>
          <w:spacing w:val="13"/>
          <w:sz w:val="24"/>
          <w:szCs w:val="24"/>
        </w:rPr>
        <w:t>本</w:t>
      </w:r>
      <w:r w:rsidRPr="002F6B27">
        <w:rPr>
          <w:rFonts w:asciiTheme="majorEastAsia" w:eastAsiaTheme="majorEastAsia" w:hAnsiTheme="majorEastAsia" w:cs="Times New Roman"/>
          <w:i/>
          <w:iCs/>
          <w:spacing w:val="9"/>
          <w:sz w:val="24"/>
          <w:szCs w:val="24"/>
        </w:rPr>
        <w:t>公佈發表日期，董事局由六名董事組成。執行董事為錢凌玲女士(主席) 、</w:t>
      </w:r>
      <w:r w:rsidR="001C2D2A" w:rsidRPr="001C2D2A">
        <w:rPr>
          <w:rFonts w:asciiTheme="majorEastAsia" w:eastAsiaTheme="majorEastAsia" w:hAnsiTheme="majorEastAsia" w:cs="Times New Roman" w:hint="eastAsia"/>
          <w:i/>
          <w:iCs/>
          <w:spacing w:val="9"/>
          <w:sz w:val="24"/>
          <w:szCs w:val="24"/>
        </w:rPr>
        <w:t>俞超</w:t>
      </w:r>
      <w:r w:rsidRPr="002F6B27">
        <w:rPr>
          <w:rFonts w:asciiTheme="majorEastAsia" w:eastAsiaTheme="majorEastAsia" w:hAnsiTheme="majorEastAsia" w:cs="Times New Roman"/>
          <w:i/>
          <w:iCs/>
          <w:spacing w:val="9"/>
          <w:sz w:val="24"/>
          <w:szCs w:val="24"/>
        </w:rPr>
        <w:t>先生</w:t>
      </w:r>
      <w:r w:rsidR="00D12460" w:rsidRPr="002F6B27">
        <w:rPr>
          <w:rFonts w:asciiTheme="majorEastAsia" w:eastAsiaTheme="majorEastAsia" w:hAnsiTheme="majorEastAsia" w:cs="Times New Roman"/>
          <w:i/>
          <w:iCs/>
          <w:sz w:val="24"/>
          <w:szCs w:val="24"/>
        </w:rPr>
        <w:t xml:space="preserve">    </w:t>
      </w:r>
      <w:r w:rsidRPr="002F6B27">
        <w:rPr>
          <w:rFonts w:asciiTheme="majorEastAsia" w:eastAsiaTheme="majorEastAsia" w:hAnsiTheme="majorEastAsia" w:cs="Times New Roman"/>
          <w:i/>
          <w:iCs/>
          <w:spacing w:val="34"/>
          <w:sz w:val="24"/>
          <w:szCs w:val="24"/>
        </w:rPr>
        <w:t>(</w:t>
      </w:r>
      <w:r w:rsidRPr="002F6B27">
        <w:rPr>
          <w:rFonts w:asciiTheme="majorEastAsia" w:eastAsiaTheme="majorEastAsia" w:hAnsiTheme="majorEastAsia" w:cs="Times New Roman"/>
          <w:i/>
          <w:iCs/>
          <w:spacing w:val="25"/>
          <w:sz w:val="24"/>
          <w:szCs w:val="24"/>
        </w:rPr>
        <w:t>行</w:t>
      </w:r>
      <w:r w:rsidRPr="002F6B27">
        <w:rPr>
          <w:rFonts w:asciiTheme="majorEastAsia" w:eastAsiaTheme="majorEastAsia" w:hAnsiTheme="majorEastAsia" w:cs="Times New Roman"/>
          <w:i/>
          <w:iCs/>
          <w:spacing w:val="17"/>
          <w:sz w:val="24"/>
          <w:szCs w:val="24"/>
        </w:rPr>
        <w:t>政總裁)及向俊杰先生；而獨立非執行董事為徐沛雄先生、鄧炳森先生及顧凱夫先</w:t>
      </w:r>
      <w:r w:rsidRPr="002F6B27">
        <w:rPr>
          <w:rFonts w:ascii="Times New Roman" w:eastAsia="SimSun" w:hAnsi="Times New Roman" w:cs="Times New Roman"/>
          <w:i/>
          <w:iCs/>
          <w:spacing w:val="78"/>
          <w:sz w:val="24"/>
          <w:szCs w:val="24"/>
        </w:rPr>
        <w:t>生</w:t>
      </w:r>
      <w:r w:rsidRPr="002F6B27">
        <w:rPr>
          <w:rFonts w:ascii="Times New Roman" w:eastAsia="SimSun" w:hAnsi="Times New Roman" w:cs="Times New Roman"/>
          <w:spacing w:val="78"/>
          <w:sz w:val="24"/>
          <w:szCs w:val="24"/>
        </w:rPr>
        <w:t>。</w:t>
      </w:r>
    </w:p>
    <w:sectPr w:rsidR="00B5002D" w:rsidSect="00C345C6">
      <w:footerReference w:type="default" r:id="rId8"/>
      <w:footerReference w:type="first" r:id="rId9"/>
      <w:pgSz w:w="11906" w:h="15875"/>
      <w:pgMar w:top="1440" w:right="1080" w:bottom="1440" w:left="1080" w:header="0" w:footer="504"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592B6" w14:textId="77777777" w:rsidR="00A0370A" w:rsidRDefault="00A0370A">
      <w:r>
        <w:separator/>
      </w:r>
    </w:p>
  </w:endnote>
  <w:endnote w:type="continuationSeparator" w:id="0">
    <w:p w14:paraId="2F5B53B3" w14:textId="77777777" w:rsidR="00A0370A" w:rsidRDefault="00A0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思源黑體">
    <w:altName w:val="微軟正黑體"/>
    <w:panose1 w:val="00000000000000000000"/>
    <w:charset w:val="88"/>
    <w:family w:val="swiss"/>
    <w:notTrueType/>
    <w:pitch w:val="default"/>
    <w:sig w:usb0="00000001" w:usb1="08080000" w:usb2="00000010" w:usb3="00000000" w:csb0="00100000" w:csb1="00000000"/>
  </w:font>
  <w:font w:name="思源宋體">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3010773"/>
      <w:docPartObj>
        <w:docPartGallery w:val="Page Numbers (Bottom of Page)"/>
        <w:docPartUnique/>
      </w:docPartObj>
    </w:sdtPr>
    <w:sdtContent>
      <w:p w14:paraId="3CEC6F93" w14:textId="6A6DDF0D" w:rsidR="00F7520E" w:rsidRDefault="00F7520E">
        <w:pPr>
          <w:pStyle w:val="a6"/>
          <w:jc w:val="center"/>
        </w:pPr>
        <w:r>
          <w:fldChar w:fldCharType="begin"/>
        </w:r>
        <w:r>
          <w:instrText>PAGE   \* MERGEFORMAT</w:instrText>
        </w:r>
        <w:r>
          <w:fldChar w:fldCharType="separate"/>
        </w:r>
        <w:r>
          <w:rPr>
            <w:lang w:val="zh-TW"/>
          </w:rPr>
          <w:t>2</w:t>
        </w:r>
        <w:r>
          <w:fldChar w:fldCharType="end"/>
        </w:r>
      </w:p>
    </w:sdtContent>
  </w:sdt>
  <w:p w14:paraId="4EC6195B" w14:textId="37C64AE7" w:rsidR="00B5002D" w:rsidRDefault="00B5002D">
    <w:pPr>
      <w:spacing w:line="185" w:lineRule="auto"/>
      <w:ind w:left="4996"/>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3C073" w14:textId="7FDE30C6" w:rsidR="00F7520E" w:rsidRPr="00A205EC" w:rsidRDefault="00F7520E" w:rsidP="00A205EC">
    <w:pPr>
      <w:pStyle w:val="a6"/>
      <w:jc w:val="center"/>
      <w:rPr>
        <w:rFonts w:eastAsia="新細明體"/>
      </w:rPr>
    </w:pPr>
    <w:r>
      <w:rPr>
        <w:rFonts w:eastAsia="新細明體"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4C2CA" w14:textId="77777777" w:rsidR="00A0370A" w:rsidRDefault="00A0370A">
      <w:r>
        <w:separator/>
      </w:r>
    </w:p>
  </w:footnote>
  <w:footnote w:type="continuationSeparator" w:id="0">
    <w:p w14:paraId="525B3AF3" w14:textId="77777777" w:rsidR="00A0370A" w:rsidRDefault="00A03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B1450"/>
    <w:multiLevelType w:val="hybridMultilevel"/>
    <w:tmpl w:val="06B8262A"/>
    <w:lvl w:ilvl="0" w:tplc="CC9643F8">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2E93803"/>
    <w:multiLevelType w:val="hybridMultilevel"/>
    <w:tmpl w:val="220A3780"/>
    <w:lvl w:ilvl="0" w:tplc="810E8AE6">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1F0A32"/>
    <w:multiLevelType w:val="hybridMultilevel"/>
    <w:tmpl w:val="664606DC"/>
    <w:lvl w:ilvl="0" w:tplc="1738FD34">
      <w:numFmt w:val="bullet"/>
      <w:lvlText w:val=""/>
      <w:lvlJc w:val="left"/>
      <w:pPr>
        <w:ind w:left="360" w:hanging="360"/>
      </w:pPr>
      <w:rPr>
        <w:rFonts w:ascii="Wingdings" w:eastAsia="新細明體"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C044E15"/>
    <w:multiLevelType w:val="hybridMultilevel"/>
    <w:tmpl w:val="314C94D6"/>
    <w:lvl w:ilvl="0" w:tplc="8B26BD92">
      <w:start w:val="1"/>
      <w:numFmt w:val="lowerRoman"/>
      <w:lvlText w:val="(%1)"/>
      <w:lvlJc w:val="left"/>
      <w:pPr>
        <w:ind w:left="720" w:hanging="72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0E25B1"/>
    <w:multiLevelType w:val="hybridMultilevel"/>
    <w:tmpl w:val="63AAC8AA"/>
    <w:lvl w:ilvl="0" w:tplc="08ECBA2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E1E4FFD"/>
    <w:multiLevelType w:val="hybridMultilevel"/>
    <w:tmpl w:val="272ACE80"/>
    <w:lvl w:ilvl="0" w:tplc="C21C37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EEC7D23"/>
    <w:multiLevelType w:val="hybridMultilevel"/>
    <w:tmpl w:val="004011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79551719">
    <w:abstractNumId w:val="1"/>
  </w:num>
  <w:num w:numId="2" w16cid:durableId="1887526277">
    <w:abstractNumId w:val="4"/>
  </w:num>
  <w:num w:numId="3" w16cid:durableId="923535690">
    <w:abstractNumId w:val="2"/>
  </w:num>
  <w:num w:numId="4" w16cid:durableId="1895071714">
    <w:abstractNumId w:val="0"/>
  </w:num>
  <w:num w:numId="5" w16cid:durableId="1632176957">
    <w:abstractNumId w:val="5"/>
  </w:num>
  <w:num w:numId="6" w16cid:durableId="1945070115">
    <w:abstractNumId w:val="6"/>
  </w:num>
  <w:num w:numId="7" w16cid:durableId="1306619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bordersDoNotSurroundHeader/>
  <w:bordersDoNotSurroundFooter/>
  <w:defaultTabStop w:val="480"/>
  <w:characterSpacingControl w:val="doNotCompress"/>
  <w:hdrShapeDefaults>
    <o:shapedefaults v:ext="edit" spidmax="2050" fillcolor="white">
      <v:fill color="white"/>
    </o:shapedefaults>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lhZTk5MTY0OWUzN2M4YjI1ZjFlNDgzMjBjMTlmYWEifQ=="/>
  </w:docVars>
  <w:rsids>
    <w:rsidRoot w:val="00B5002D"/>
    <w:rsid w:val="001024FE"/>
    <w:rsid w:val="00135A27"/>
    <w:rsid w:val="00156475"/>
    <w:rsid w:val="001771ED"/>
    <w:rsid w:val="001971C4"/>
    <w:rsid w:val="001C2D2A"/>
    <w:rsid w:val="001D3467"/>
    <w:rsid w:val="00200806"/>
    <w:rsid w:val="00235CA2"/>
    <w:rsid w:val="002520E0"/>
    <w:rsid w:val="00262A5F"/>
    <w:rsid w:val="0027273D"/>
    <w:rsid w:val="00277D3D"/>
    <w:rsid w:val="002A1DFC"/>
    <w:rsid w:val="002E7AE4"/>
    <w:rsid w:val="002F6B27"/>
    <w:rsid w:val="003178A2"/>
    <w:rsid w:val="003378A7"/>
    <w:rsid w:val="0038541A"/>
    <w:rsid w:val="003E7A07"/>
    <w:rsid w:val="004120EA"/>
    <w:rsid w:val="00413A70"/>
    <w:rsid w:val="004221BA"/>
    <w:rsid w:val="00431132"/>
    <w:rsid w:val="00476510"/>
    <w:rsid w:val="004A3241"/>
    <w:rsid w:val="005004E9"/>
    <w:rsid w:val="0051713F"/>
    <w:rsid w:val="00520789"/>
    <w:rsid w:val="0054559D"/>
    <w:rsid w:val="005721AE"/>
    <w:rsid w:val="005802F8"/>
    <w:rsid w:val="0058623B"/>
    <w:rsid w:val="005A1997"/>
    <w:rsid w:val="005A3C44"/>
    <w:rsid w:val="005B21A0"/>
    <w:rsid w:val="005D021A"/>
    <w:rsid w:val="005E436E"/>
    <w:rsid w:val="006325C4"/>
    <w:rsid w:val="006A0B41"/>
    <w:rsid w:val="006C679B"/>
    <w:rsid w:val="006F19AB"/>
    <w:rsid w:val="0074410D"/>
    <w:rsid w:val="0077465C"/>
    <w:rsid w:val="00774C7F"/>
    <w:rsid w:val="007E09AC"/>
    <w:rsid w:val="00817261"/>
    <w:rsid w:val="008B5C0A"/>
    <w:rsid w:val="0090436E"/>
    <w:rsid w:val="00912BF4"/>
    <w:rsid w:val="00971E06"/>
    <w:rsid w:val="00977D99"/>
    <w:rsid w:val="009E24E8"/>
    <w:rsid w:val="009F5FFB"/>
    <w:rsid w:val="00A0370A"/>
    <w:rsid w:val="00A205EC"/>
    <w:rsid w:val="00A30214"/>
    <w:rsid w:val="00A719EA"/>
    <w:rsid w:val="00AB005F"/>
    <w:rsid w:val="00B210E0"/>
    <w:rsid w:val="00B5002D"/>
    <w:rsid w:val="00B61BEF"/>
    <w:rsid w:val="00B83B93"/>
    <w:rsid w:val="00BA2A5A"/>
    <w:rsid w:val="00BD56B2"/>
    <w:rsid w:val="00BD74A7"/>
    <w:rsid w:val="00C345C6"/>
    <w:rsid w:val="00D12460"/>
    <w:rsid w:val="00D236AA"/>
    <w:rsid w:val="00D248B8"/>
    <w:rsid w:val="00D40DA9"/>
    <w:rsid w:val="00D420AA"/>
    <w:rsid w:val="00D77FBD"/>
    <w:rsid w:val="00D82AE8"/>
    <w:rsid w:val="00DA2E7D"/>
    <w:rsid w:val="00DA69AC"/>
    <w:rsid w:val="00DA7C2D"/>
    <w:rsid w:val="00DF32BD"/>
    <w:rsid w:val="00DF4EE5"/>
    <w:rsid w:val="00E15B7D"/>
    <w:rsid w:val="00E21065"/>
    <w:rsid w:val="00E21991"/>
    <w:rsid w:val="00E52011"/>
    <w:rsid w:val="00EA1DB4"/>
    <w:rsid w:val="00EA4181"/>
    <w:rsid w:val="00EE764B"/>
    <w:rsid w:val="00EF6883"/>
    <w:rsid w:val="00F20A24"/>
    <w:rsid w:val="00F34F1D"/>
    <w:rsid w:val="00F369D9"/>
    <w:rsid w:val="00F64EE3"/>
    <w:rsid w:val="00F7520E"/>
    <w:rsid w:val="00F86BED"/>
    <w:rsid w:val="00FB4DB7"/>
    <w:rsid w:val="00FB5FA0"/>
    <w:rsid w:val="00FC6545"/>
    <w:rsid w:val="00FC7C4C"/>
    <w:rsid w:val="00FE2C95"/>
    <w:rsid w:val="00FE4902"/>
    <w:rsid w:val="00FF36EE"/>
    <w:rsid w:val="0E012D07"/>
    <w:rsid w:val="6F997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E10E65E"/>
  <w15:docId w15:val="{E7B01218-A2EA-4A05-9DF4-8076DE6E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新細明體" w:hAnsi="Arial" w:cs="Arial"/>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Revision"/>
    <w:hidden/>
    <w:uiPriority w:val="99"/>
    <w:semiHidden/>
    <w:rsid w:val="0058623B"/>
    <w:rPr>
      <w:rFonts w:eastAsia="Arial"/>
      <w:snapToGrid w:val="0"/>
      <w:color w:val="000000"/>
      <w:sz w:val="21"/>
      <w:szCs w:val="21"/>
    </w:rPr>
  </w:style>
  <w:style w:type="paragraph" w:styleId="a4">
    <w:name w:val="header"/>
    <w:basedOn w:val="a"/>
    <w:link w:val="a5"/>
    <w:uiPriority w:val="99"/>
    <w:rsid w:val="005E436E"/>
    <w:pPr>
      <w:tabs>
        <w:tab w:val="center" w:pos="4153"/>
        <w:tab w:val="right" w:pos="8306"/>
      </w:tabs>
    </w:pPr>
    <w:rPr>
      <w:sz w:val="20"/>
      <w:szCs w:val="20"/>
    </w:rPr>
  </w:style>
  <w:style w:type="character" w:customStyle="1" w:styleId="a5">
    <w:name w:val="頁首 字元"/>
    <w:basedOn w:val="a0"/>
    <w:link w:val="a4"/>
    <w:uiPriority w:val="99"/>
    <w:rsid w:val="005E436E"/>
    <w:rPr>
      <w:rFonts w:eastAsia="Arial"/>
      <w:snapToGrid w:val="0"/>
      <w:color w:val="000000"/>
    </w:rPr>
  </w:style>
  <w:style w:type="paragraph" w:styleId="a6">
    <w:name w:val="footer"/>
    <w:basedOn w:val="a"/>
    <w:link w:val="a7"/>
    <w:uiPriority w:val="99"/>
    <w:rsid w:val="005E436E"/>
    <w:pPr>
      <w:tabs>
        <w:tab w:val="center" w:pos="4153"/>
        <w:tab w:val="right" w:pos="8306"/>
      </w:tabs>
    </w:pPr>
    <w:rPr>
      <w:sz w:val="20"/>
      <w:szCs w:val="20"/>
    </w:rPr>
  </w:style>
  <w:style w:type="character" w:customStyle="1" w:styleId="a7">
    <w:name w:val="頁尾 字元"/>
    <w:basedOn w:val="a0"/>
    <w:link w:val="a6"/>
    <w:uiPriority w:val="99"/>
    <w:rsid w:val="005E436E"/>
    <w:rPr>
      <w:rFonts w:eastAsia="Arial"/>
      <w:snapToGrid w:val="0"/>
      <w:color w:val="000000"/>
    </w:rPr>
  </w:style>
  <w:style w:type="paragraph" w:styleId="a8">
    <w:name w:val="List Paragraph"/>
    <w:basedOn w:val="a"/>
    <w:uiPriority w:val="34"/>
    <w:qFormat/>
    <w:rsid w:val="003178A2"/>
    <w:pPr>
      <w:ind w:leftChars="200" w:left="480"/>
    </w:pPr>
  </w:style>
  <w:style w:type="paragraph" w:styleId="HTML">
    <w:name w:val="HTML Preformatted"/>
    <w:basedOn w:val="a"/>
    <w:link w:val="HTML0"/>
    <w:uiPriority w:val="99"/>
    <w:unhideWhenUsed/>
    <w:rsid w:val="00D2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E/>
      <w:autoSpaceDN/>
      <w:adjustRightInd/>
      <w:snapToGrid/>
      <w:textAlignment w:val="auto"/>
    </w:pPr>
    <w:rPr>
      <w:rFonts w:ascii="Courier New" w:eastAsia="Times New Roman" w:hAnsi="Courier New" w:cs="Courier New"/>
      <w:snapToGrid/>
      <w:color w:val="auto"/>
      <w:sz w:val="20"/>
      <w:szCs w:val="20"/>
    </w:rPr>
  </w:style>
  <w:style w:type="character" w:customStyle="1" w:styleId="HTML0">
    <w:name w:val="HTML 預設格式 字元"/>
    <w:basedOn w:val="a0"/>
    <w:link w:val="HTML"/>
    <w:uiPriority w:val="99"/>
    <w:rsid w:val="00D236AA"/>
    <w:rPr>
      <w:rFonts w:ascii="Courier New" w:eastAsia="Times New Roman" w:hAnsi="Courier New" w:cs="Courier New"/>
    </w:rPr>
  </w:style>
  <w:style w:type="character" w:customStyle="1" w:styleId="y2iqfc">
    <w:name w:val="y2iqfc"/>
    <w:basedOn w:val="a0"/>
    <w:rsid w:val="00D236AA"/>
  </w:style>
  <w:style w:type="paragraph" w:customStyle="1" w:styleId="Default">
    <w:name w:val="Default"/>
    <w:rsid w:val="00D420AA"/>
    <w:pPr>
      <w:widowControl w:val="0"/>
      <w:autoSpaceDE w:val="0"/>
      <w:autoSpaceDN w:val="0"/>
      <w:adjustRightInd w:val="0"/>
    </w:pPr>
    <w:rPr>
      <w:rFonts w:ascii="思源黑體" w:eastAsia="思源黑體" w:cs="思源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55369">
      <w:bodyDiv w:val="1"/>
      <w:marLeft w:val="0"/>
      <w:marRight w:val="0"/>
      <w:marTop w:val="0"/>
      <w:marBottom w:val="0"/>
      <w:divBdr>
        <w:top w:val="none" w:sz="0" w:space="0" w:color="auto"/>
        <w:left w:val="none" w:sz="0" w:space="0" w:color="auto"/>
        <w:bottom w:val="none" w:sz="0" w:space="0" w:color="auto"/>
        <w:right w:val="none" w:sz="0" w:space="0" w:color="auto"/>
      </w:divBdr>
    </w:div>
    <w:div w:id="150174776">
      <w:bodyDiv w:val="1"/>
      <w:marLeft w:val="0"/>
      <w:marRight w:val="0"/>
      <w:marTop w:val="0"/>
      <w:marBottom w:val="0"/>
      <w:divBdr>
        <w:top w:val="none" w:sz="0" w:space="0" w:color="auto"/>
        <w:left w:val="none" w:sz="0" w:space="0" w:color="auto"/>
        <w:bottom w:val="none" w:sz="0" w:space="0" w:color="auto"/>
        <w:right w:val="none" w:sz="0" w:space="0" w:color="auto"/>
      </w:divBdr>
    </w:div>
    <w:div w:id="200826683">
      <w:bodyDiv w:val="1"/>
      <w:marLeft w:val="0"/>
      <w:marRight w:val="0"/>
      <w:marTop w:val="0"/>
      <w:marBottom w:val="0"/>
      <w:divBdr>
        <w:top w:val="none" w:sz="0" w:space="0" w:color="auto"/>
        <w:left w:val="none" w:sz="0" w:space="0" w:color="auto"/>
        <w:bottom w:val="none" w:sz="0" w:space="0" w:color="auto"/>
        <w:right w:val="none" w:sz="0" w:space="0" w:color="auto"/>
      </w:divBdr>
    </w:div>
    <w:div w:id="259263938">
      <w:bodyDiv w:val="1"/>
      <w:marLeft w:val="0"/>
      <w:marRight w:val="0"/>
      <w:marTop w:val="0"/>
      <w:marBottom w:val="0"/>
      <w:divBdr>
        <w:top w:val="none" w:sz="0" w:space="0" w:color="auto"/>
        <w:left w:val="none" w:sz="0" w:space="0" w:color="auto"/>
        <w:bottom w:val="none" w:sz="0" w:space="0" w:color="auto"/>
        <w:right w:val="none" w:sz="0" w:space="0" w:color="auto"/>
      </w:divBdr>
    </w:div>
    <w:div w:id="528880641">
      <w:bodyDiv w:val="1"/>
      <w:marLeft w:val="0"/>
      <w:marRight w:val="0"/>
      <w:marTop w:val="0"/>
      <w:marBottom w:val="0"/>
      <w:divBdr>
        <w:top w:val="none" w:sz="0" w:space="0" w:color="auto"/>
        <w:left w:val="none" w:sz="0" w:space="0" w:color="auto"/>
        <w:bottom w:val="none" w:sz="0" w:space="0" w:color="auto"/>
        <w:right w:val="none" w:sz="0" w:space="0" w:color="auto"/>
      </w:divBdr>
    </w:div>
    <w:div w:id="541212162">
      <w:bodyDiv w:val="1"/>
      <w:marLeft w:val="0"/>
      <w:marRight w:val="0"/>
      <w:marTop w:val="0"/>
      <w:marBottom w:val="0"/>
      <w:divBdr>
        <w:top w:val="none" w:sz="0" w:space="0" w:color="auto"/>
        <w:left w:val="none" w:sz="0" w:space="0" w:color="auto"/>
        <w:bottom w:val="none" w:sz="0" w:space="0" w:color="auto"/>
        <w:right w:val="none" w:sz="0" w:space="0" w:color="auto"/>
      </w:divBdr>
    </w:div>
    <w:div w:id="564755972">
      <w:bodyDiv w:val="1"/>
      <w:marLeft w:val="0"/>
      <w:marRight w:val="0"/>
      <w:marTop w:val="0"/>
      <w:marBottom w:val="0"/>
      <w:divBdr>
        <w:top w:val="none" w:sz="0" w:space="0" w:color="auto"/>
        <w:left w:val="none" w:sz="0" w:space="0" w:color="auto"/>
        <w:bottom w:val="none" w:sz="0" w:space="0" w:color="auto"/>
        <w:right w:val="none" w:sz="0" w:space="0" w:color="auto"/>
      </w:divBdr>
    </w:div>
    <w:div w:id="588347264">
      <w:bodyDiv w:val="1"/>
      <w:marLeft w:val="0"/>
      <w:marRight w:val="0"/>
      <w:marTop w:val="0"/>
      <w:marBottom w:val="0"/>
      <w:divBdr>
        <w:top w:val="none" w:sz="0" w:space="0" w:color="auto"/>
        <w:left w:val="none" w:sz="0" w:space="0" w:color="auto"/>
        <w:bottom w:val="none" w:sz="0" w:space="0" w:color="auto"/>
        <w:right w:val="none" w:sz="0" w:space="0" w:color="auto"/>
      </w:divBdr>
    </w:div>
    <w:div w:id="701439595">
      <w:bodyDiv w:val="1"/>
      <w:marLeft w:val="0"/>
      <w:marRight w:val="0"/>
      <w:marTop w:val="0"/>
      <w:marBottom w:val="0"/>
      <w:divBdr>
        <w:top w:val="none" w:sz="0" w:space="0" w:color="auto"/>
        <w:left w:val="none" w:sz="0" w:space="0" w:color="auto"/>
        <w:bottom w:val="none" w:sz="0" w:space="0" w:color="auto"/>
        <w:right w:val="none" w:sz="0" w:space="0" w:color="auto"/>
      </w:divBdr>
    </w:div>
    <w:div w:id="729158299">
      <w:bodyDiv w:val="1"/>
      <w:marLeft w:val="0"/>
      <w:marRight w:val="0"/>
      <w:marTop w:val="0"/>
      <w:marBottom w:val="0"/>
      <w:divBdr>
        <w:top w:val="none" w:sz="0" w:space="0" w:color="auto"/>
        <w:left w:val="none" w:sz="0" w:space="0" w:color="auto"/>
        <w:bottom w:val="none" w:sz="0" w:space="0" w:color="auto"/>
        <w:right w:val="none" w:sz="0" w:space="0" w:color="auto"/>
      </w:divBdr>
    </w:div>
    <w:div w:id="731124026">
      <w:bodyDiv w:val="1"/>
      <w:marLeft w:val="0"/>
      <w:marRight w:val="0"/>
      <w:marTop w:val="0"/>
      <w:marBottom w:val="0"/>
      <w:divBdr>
        <w:top w:val="none" w:sz="0" w:space="0" w:color="auto"/>
        <w:left w:val="none" w:sz="0" w:space="0" w:color="auto"/>
        <w:bottom w:val="none" w:sz="0" w:space="0" w:color="auto"/>
        <w:right w:val="none" w:sz="0" w:space="0" w:color="auto"/>
      </w:divBdr>
    </w:div>
    <w:div w:id="807627443">
      <w:bodyDiv w:val="1"/>
      <w:marLeft w:val="0"/>
      <w:marRight w:val="0"/>
      <w:marTop w:val="0"/>
      <w:marBottom w:val="0"/>
      <w:divBdr>
        <w:top w:val="none" w:sz="0" w:space="0" w:color="auto"/>
        <w:left w:val="none" w:sz="0" w:space="0" w:color="auto"/>
        <w:bottom w:val="none" w:sz="0" w:space="0" w:color="auto"/>
        <w:right w:val="none" w:sz="0" w:space="0" w:color="auto"/>
      </w:divBdr>
    </w:div>
    <w:div w:id="959730001">
      <w:bodyDiv w:val="1"/>
      <w:marLeft w:val="0"/>
      <w:marRight w:val="0"/>
      <w:marTop w:val="0"/>
      <w:marBottom w:val="0"/>
      <w:divBdr>
        <w:top w:val="none" w:sz="0" w:space="0" w:color="auto"/>
        <w:left w:val="none" w:sz="0" w:space="0" w:color="auto"/>
        <w:bottom w:val="none" w:sz="0" w:space="0" w:color="auto"/>
        <w:right w:val="none" w:sz="0" w:space="0" w:color="auto"/>
      </w:divBdr>
    </w:div>
    <w:div w:id="1062406647">
      <w:bodyDiv w:val="1"/>
      <w:marLeft w:val="0"/>
      <w:marRight w:val="0"/>
      <w:marTop w:val="0"/>
      <w:marBottom w:val="0"/>
      <w:divBdr>
        <w:top w:val="none" w:sz="0" w:space="0" w:color="auto"/>
        <w:left w:val="none" w:sz="0" w:space="0" w:color="auto"/>
        <w:bottom w:val="none" w:sz="0" w:space="0" w:color="auto"/>
        <w:right w:val="none" w:sz="0" w:space="0" w:color="auto"/>
      </w:divBdr>
    </w:div>
    <w:div w:id="1142307690">
      <w:bodyDiv w:val="1"/>
      <w:marLeft w:val="0"/>
      <w:marRight w:val="0"/>
      <w:marTop w:val="0"/>
      <w:marBottom w:val="0"/>
      <w:divBdr>
        <w:top w:val="none" w:sz="0" w:space="0" w:color="auto"/>
        <w:left w:val="none" w:sz="0" w:space="0" w:color="auto"/>
        <w:bottom w:val="none" w:sz="0" w:space="0" w:color="auto"/>
        <w:right w:val="none" w:sz="0" w:space="0" w:color="auto"/>
      </w:divBdr>
    </w:div>
    <w:div w:id="1177302735">
      <w:bodyDiv w:val="1"/>
      <w:marLeft w:val="0"/>
      <w:marRight w:val="0"/>
      <w:marTop w:val="0"/>
      <w:marBottom w:val="0"/>
      <w:divBdr>
        <w:top w:val="none" w:sz="0" w:space="0" w:color="auto"/>
        <w:left w:val="none" w:sz="0" w:space="0" w:color="auto"/>
        <w:bottom w:val="none" w:sz="0" w:space="0" w:color="auto"/>
        <w:right w:val="none" w:sz="0" w:space="0" w:color="auto"/>
      </w:divBdr>
    </w:div>
    <w:div w:id="1376810288">
      <w:bodyDiv w:val="1"/>
      <w:marLeft w:val="0"/>
      <w:marRight w:val="0"/>
      <w:marTop w:val="0"/>
      <w:marBottom w:val="0"/>
      <w:divBdr>
        <w:top w:val="none" w:sz="0" w:space="0" w:color="auto"/>
        <w:left w:val="none" w:sz="0" w:space="0" w:color="auto"/>
        <w:bottom w:val="none" w:sz="0" w:space="0" w:color="auto"/>
        <w:right w:val="none" w:sz="0" w:space="0" w:color="auto"/>
      </w:divBdr>
    </w:div>
    <w:div w:id="1509102824">
      <w:bodyDiv w:val="1"/>
      <w:marLeft w:val="0"/>
      <w:marRight w:val="0"/>
      <w:marTop w:val="0"/>
      <w:marBottom w:val="0"/>
      <w:divBdr>
        <w:top w:val="none" w:sz="0" w:space="0" w:color="auto"/>
        <w:left w:val="none" w:sz="0" w:space="0" w:color="auto"/>
        <w:bottom w:val="none" w:sz="0" w:space="0" w:color="auto"/>
        <w:right w:val="none" w:sz="0" w:space="0" w:color="auto"/>
      </w:divBdr>
    </w:div>
    <w:div w:id="1527211882">
      <w:bodyDiv w:val="1"/>
      <w:marLeft w:val="0"/>
      <w:marRight w:val="0"/>
      <w:marTop w:val="0"/>
      <w:marBottom w:val="0"/>
      <w:divBdr>
        <w:top w:val="none" w:sz="0" w:space="0" w:color="auto"/>
        <w:left w:val="none" w:sz="0" w:space="0" w:color="auto"/>
        <w:bottom w:val="none" w:sz="0" w:space="0" w:color="auto"/>
        <w:right w:val="none" w:sz="0" w:space="0" w:color="auto"/>
      </w:divBdr>
    </w:div>
    <w:div w:id="1541432828">
      <w:bodyDiv w:val="1"/>
      <w:marLeft w:val="0"/>
      <w:marRight w:val="0"/>
      <w:marTop w:val="0"/>
      <w:marBottom w:val="0"/>
      <w:divBdr>
        <w:top w:val="none" w:sz="0" w:space="0" w:color="auto"/>
        <w:left w:val="none" w:sz="0" w:space="0" w:color="auto"/>
        <w:bottom w:val="none" w:sz="0" w:space="0" w:color="auto"/>
        <w:right w:val="none" w:sz="0" w:space="0" w:color="auto"/>
      </w:divBdr>
    </w:div>
    <w:div w:id="1744182218">
      <w:bodyDiv w:val="1"/>
      <w:marLeft w:val="0"/>
      <w:marRight w:val="0"/>
      <w:marTop w:val="0"/>
      <w:marBottom w:val="0"/>
      <w:divBdr>
        <w:top w:val="none" w:sz="0" w:space="0" w:color="auto"/>
        <w:left w:val="none" w:sz="0" w:space="0" w:color="auto"/>
        <w:bottom w:val="none" w:sz="0" w:space="0" w:color="auto"/>
        <w:right w:val="none" w:sz="0" w:space="0" w:color="auto"/>
      </w:divBdr>
    </w:div>
    <w:div w:id="1796948841">
      <w:bodyDiv w:val="1"/>
      <w:marLeft w:val="0"/>
      <w:marRight w:val="0"/>
      <w:marTop w:val="0"/>
      <w:marBottom w:val="0"/>
      <w:divBdr>
        <w:top w:val="none" w:sz="0" w:space="0" w:color="auto"/>
        <w:left w:val="none" w:sz="0" w:space="0" w:color="auto"/>
        <w:bottom w:val="none" w:sz="0" w:space="0" w:color="auto"/>
        <w:right w:val="none" w:sz="0" w:space="0" w:color="auto"/>
      </w:divBdr>
    </w:div>
    <w:div w:id="1799565259">
      <w:bodyDiv w:val="1"/>
      <w:marLeft w:val="0"/>
      <w:marRight w:val="0"/>
      <w:marTop w:val="0"/>
      <w:marBottom w:val="0"/>
      <w:divBdr>
        <w:top w:val="none" w:sz="0" w:space="0" w:color="auto"/>
        <w:left w:val="none" w:sz="0" w:space="0" w:color="auto"/>
        <w:bottom w:val="none" w:sz="0" w:space="0" w:color="auto"/>
        <w:right w:val="none" w:sz="0" w:space="0" w:color="auto"/>
      </w:divBdr>
    </w:div>
    <w:div w:id="192232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39</cp:revision>
  <cp:lastPrinted>2024-03-18T07:55:00Z</cp:lastPrinted>
  <dcterms:created xsi:type="dcterms:W3CDTF">2024-03-25T03:14:00Z</dcterms:created>
  <dcterms:modified xsi:type="dcterms:W3CDTF">2024-07-04T05:38:00Z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2022-10-05T10:10:00Z</vt:filetime>
  </property>
  <property fmtid="{D5CDD505-2E9C-101B-9397-08002B2CF9AE}" pid="4" name="KSOProductBuildVer">
    <vt:lpwstr>2052-11.1.0.12358</vt:lpwstr>
  </property>
  <property fmtid="{D5CDD505-2E9C-101B-9397-08002B2CF9AE}" pid="5" name="ICV">
    <vt:lpwstr>BFBAFCB1551846BA9E1FE3F80CE4DD7B</vt:lpwstr>
  </property>
</Properties>
</file>